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412" w:rsidRPr="004528DA" w:rsidRDefault="00E57412" w:rsidP="00E57412">
      <w:pPr>
        <w:spacing w:after="0" w:line="240" w:lineRule="auto"/>
        <w:ind w:left="-720" w:right="-900"/>
        <w:jc w:val="center"/>
        <w:rPr>
          <w:rFonts w:ascii="Times New Roman" w:hAnsi="Times New Roman" w:cs="Times New Roman"/>
          <w:b/>
          <w:bCs/>
          <w:sz w:val="24"/>
          <w:szCs w:val="24"/>
          <w:lang w:bidi="ar-IQ"/>
        </w:rPr>
      </w:pPr>
      <w:r w:rsidRPr="004528DA">
        <w:rPr>
          <w:rFonts w:ascii="Times New Roman" w:hAnsi="Times New Roman" w:cs="Times New Roman"/>
          <w:b/>
          <w:bCs/>
          <w:sz w:val="24"/>
          <w:szCs w:val="24"/>
          <w:rtl/>
          <w:lang w:bidi="ar-IQ"/>
        </w:rPr>
        <w:t>المادة: النقود والمصارف</w:t>
      </w:r>
    </w:p>
    <w:p w:rsidR="00E57412" w:rsidRPr="004528DA" w:rsidRDefault="00E57412" w:rsidP="00E57412">
      <w:pPr>
        <w:spacing w:after="0" w:line="240" w:lineRule="auto"/>
        <w:ind w:left="-720" w:right="-900"/>
        <w:jc w:val="center"/>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المرحلة: الثانية     الساعات الأسبوعية: (3) نظري</w:t>
      </w:r>
    </w:p>
    <w:p w:rsidR="00E57412" w:rsidRPr="004528DA" w:rsidRDefault="00E57412" w:rsidP="00E57412">
      <w:pPr>
        <w:spacing w:after="0" w:line="240" w:lineRule="auto"/>
        <w:ind w:left="-720" w:right="-900"/>
        <w:jc w:val="both"/>
        <w:rPr>
          <w:rFonts w:ascii="Times New Roman" w:hAnsi="Times New Roman" w:cs="Times New Roman"/>
          <w:b/>
          <w:bCs/>
          <w:sz w:val="24"/>
          <w:szCs w:val="24"/>
          <w:rtl/>
          <w:lang w:bidi="ar-IQ"/>
        </w:rPr>
      </w:pPr>
    </w:p>
    <w:tbl>
      <w:tblPr>
        <w:tblStyle w:val="a4"/>
        <w:bidiVisual/>
        <w:tblW w:w="10206" w:type="dxa"/>
        <w:tblInd w:w="-658" w:type="dxa"/>
        <w:tblLook w:val="04A0" w:firstRow="1" w:lastRow="0" w:firstColumn="1" w:lastColumn="0" w:noHBand="0" w:noVBand="1"/>
      </w:tblPr>
      <w:tblGrid>
        <w:gridCol w:w="1020"/>
        <w:gridCol w:w="8132"/>
        <w:gridCol w:w="1054"/>
      </w:tblGrid>
      <w:tr w:rsidR="00E57412" w:rsidRPr="004528DA" w:rsidTr="00221D2B">
        <w:tc>
          <w:tcPr>
            <w:tcW w:w="1020" w:type="dxa"/>
            <w:tcBorders>
              <w:top w:val="thinThickSmallGap" w:sz="24" w:space="0" w:color="auto"/>
              <w:left w:val="thinThickSmallGap" w:sz="24" w:space="0" w:color="auto"/>
              <w:bottom w:val="thinThickSmallGap" w:sz="24" w:space="0" w:color="auto"/>
              <w:right w:val="thinThickSmallGap" w:sz="24" w:space="0" w:color="auto"/>
            </w:tcBorders>
            <w:hideMark/>
          </w:tcPr>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ت</w:t>
            </w:r>
            <w:r w:rsidRPr="004528DA">
              <w:rPr>
                <w:rFonts w:ascii="Times New Roman" w:hAnsi="Times New Roman" w:cs="Times New Roman"/>
                <w:b/>
                <w:bCs/>
                <w:sz w:val="24"/>
                <w:szCs w:val="24"/>
                <w:rtl/>
                <w:lang w:bidi="ar-IQ"/>
              </w:rPr>
              <w:tab/>
            </w:r>
          </w:p>
        </w:tc>
        <w:tc>
          <w:tcPr>
            <w:tcW w:w="8132" w:type="dxa"/>
            <w:tcBorders>
              <w:top w:val="thinThickSmallGap" w:sz="24" w:space="0" w:color="auto"/>
              <w:left w:val="thinThickSmallGap" w:sz="24" w:space="0" w:color="auto"/>
              <w:bottom w:val="thinThickSmallGap" w:sz="24" w:space="0" w:color="auto"/>
              <w:right w:val="thinThickSmallGap" w:sz="24" w:space="0" w:color="auto"/>
            </w:tcBorders>
            <w:hideMark/>
          </w:tcPr>
          <w:p w:rsidR="00E57412" w:rsidRPr="004528DA" w:rsidRDefault="00E57412" w:rsidP="00221D2B">
            <w:pPr>
              <w:spacing w:after="0" w:line="360" w:lineRule="auto"/>
              <w:ind w:right="-900"/>
              <w:jc w:val="center"/>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الموضـــــــــــــــــــــــــــــــــــــــــــــــــع</w:t>
            </w:r>
          </w:p>
        </w:tc>
        <w:tc>
          <w:tcPr>
            <w:tcW w:w="1054" w:type="dxa"/>
            <w:tcBorders>
              <w:top w:val="thinThickSmallGap" w:sz="24" w:space="0" w:color="auto"/>
              <w:left w:val="thinThickSmallGap" w:sz="24" w:space="0" w:color="auto"/>
              <w:bottom w:val="thinThickSmallGap" w:sz="24" w:space="0" w:color="auto"/>
              <w:right w:val="thinThickSmallGap" w:sz="24" w:space="0" w:color="auto"/>
            </w:tcBorders>
            <w:hideMark/>
          </w:tcPr>
          <w:p w:rsidR="00E57412" w:rsidRPr="004528DA" w:rsidRDefault="00E57412" w:rsidP="00221D2B">
            <w:pPr>
              <w:spacing w:after="0" w:line="360" w:lineRule="auto"/>
              <w:jc w:val="center"/>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الصفحة</w:t>
            </w:r>
          </w:p>
        </w:tc>
      </w:tr>
      <w:tr w:rsidR="00E57412" w:rsidRPr="004528DA" w:rsidTr="00221D2B">
        <w:trPr>
          <w:trHeight w:val="10064"/>
        </w:trPr>
        <w:tc>
          <w:tcPr>
            <w:tcW w:w="1020" w:type="dxa"/>
            <w:tcBorders>
              <w:top w:val="thinThickSmallGap" w:sz="24" w:space="0" w:color="auto"/>
              <w:left w:val="thinThickSmallGap" w:sz="24" w:space="0" w:color="auto"/>
              <w:bottom w:val="thickThinSmallGap" w:sz="24" w:space="0" w:color="auto"/>
              <w:right w:val="thinThickSmallGap" w:sz="24" w:space="0" w:color="auto"/>
            </w:tcBorders>
          </w:tcPr>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1</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2</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3</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4</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5</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6</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7</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8</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9</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10</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p>
          <w:p w:rsidR="00E57412" w:rsidRDefault="00E57412" w:rsidP="00221D2B">
            <w:pPr>
              <w:spacing w:after="0" w:line="360" w:lineRule="auto"/>
              <w:ind w:right="-900"/>
              <w:jc w:val="both"/>
              <w:rPr>
                <w:rFonts w:ascii="Times New Roman" w:hAnsi="Times New Roman" w:cs="Times New Roman"/>
                <w:b/>
                <w:bCs/>
                <w:sz w:val="24"/>
                <w:szCs w:val="24"/>
                <w:rtl/>
                <w:lang w:bidi="ar-IQ"/>
              </w:rPr>
            </w:pPr>
          </w:p>
          <w:p w:rsidR="00E57412" w:rsidRDefault="00E57412" w:rsidP="00221D2B">
            <w:pPr>
              <w:spacing w:after="0" w:line="360" w:lineRule="auto"/>
              <w:ind w:right="-900"/>
              <w:jc w:val="both"/>
              <w:rPr>
                <w:rFonts w:ascii="Times New Roman" w:hAnsi="Times New Roman" w:cs="Times New Roman"/>
                <w:b/>
                <w:bCs/>
                <w:sz w:val="24"/>
                <w:szCs w:val="24"/>
                <w:rtl/>
                <w:lang w:bidi="ar-IQ"/>
              </w:rPr>
            </w:pP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11</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12</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13</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14</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15</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16</w:t>
            </w:r>
          </w:p>
          <w:p w:rsidR="00E57412" w:rsidRPr="004528DA" w:rsidRDefault="00E57412" w:rsidP="00221D2B">
            <w:pPr>
              <w:spacing w:after="0" w:line="360" w:lineRule="auto"/>
              <w:ind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17</w:t>
            </w:r>
          </w:p>
        </w:tc>
        <w:tc>
          <w:tcPr>
            <w:tcW w:w="8132" w:type="dxa"/>
            <w:tcBorders>
              <w:top w:val="thinThickSmallGap" w:sz="24" w:space="0" w:color="auto"/>
              <w:left w:val="thinThickSmallGap" w:sz="24" w:space="0" w:color="auto"/>
              <w:bottom w:val="single" w:sz="4" w:space="0" w:color="auto"/>
              <w:right w:val="thinThickSmallGap" w:sz="24" w:space="0" w:color="auto"/>
            </w:tcBorders>
            <w:hideMark/>
          </w:tcPr>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الأول: طبيعة النقود وأساس قبولها العام</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الثاني: وظائف النقود</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الثالث: النظام النقدي – فوائده وعناصره</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الرابع: قيمة النقود والعوامل المؤثرة فيها</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الخامس: الجهاز المالي – أجهزة الوساطة المالية</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السادس: الجهاز المصرفي التجاري</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السابع: دور الجهاز المصرفي التجاري في عرض النقد</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الثامن: الصيرفة المركزية</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التاسع: النظرية النقدية – دور النقود في النشاط الاقتصادي</w:t>
            </w:r>
          </w:p>
          <w:p w:rsidR="00E57412" w:rsidRPr="004528DA" w:rsidRDefault="00E57412" w:rsidP="00221D2B">
            <w:pPr>
              <w:pStyle w:val="a3"/>
              <w:numPr>
                <w:ilvl w:val="0"/>
                <w:numId w:val="1"/>
              </w:numPr>
              <w:spacing w:after="0" w:line="360" w:lineRule="auto"/>
              <w:ind w:left="0" w:right="-900" w:hanging="142"/>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النظرية الكلاسيكية</w:t>
            </w:r>
          </w:p>
          <w:p w:rsidR="00E57412" w:rsidRPr="004528DA" w:rsidRDefault="00E57412" w:rsidP="00221D2B">
            <w:pPr>
              <w:pStyle w:val="a3"/>
              <w:numPr>
                <w:ilvl w:val="0"/>
                <w:numId w:val="1"/>
              </w:numPr>
              <w:spacing w:after="0" w:line="360" w:lineRule="auto"/>
              <w:ind w:left="0" w:right="-900" w:hanging="142"/>
              <w:jc w:val="both"/>
              <w:rPr>
                <w:rFonts w:ascii="Times New Roman" w:hAnsi="Times New Roman" w:cs="Times New Roman"/>
                <w:b/>
                <w:bCs/>
                <w:sz w:val="24"/>
                <w:szCs w:val="24"/>
                <w:lang w:bidi="ar-IQ"/>
              </w:rPr>
            </w:pPr>
            <w:r w:rsidRPr="004528DA">
              <w:rPr>
                <w:rFonts w:ascii="Times New Roman" w:hAnsi="Times New Roman" w:cs="Times New Roman"/>
                <w:b/>
                <w:bCs/>
                <w:sz w:val="24"/>
                <w:szCs w:val="24"/>
                <w:rtl/>
                <w:lang w:bidi="ar-IQ"/>
              </w:rPr>
              <w:t>النظرية الكلاسيكية المُحدّثة</w:t>
            </w:r>
          </w:p>
          <w:p w:rsidR="00E57412" w:rsidRPr="004528DA" w:rsidRDefault="00E57412" w:rsidP="00221D2B">
            <w:pPr>
              <w:pStyle w:val="a3"/>
              <w:numPr>
                <w:ilvl w:val="0"/>
                <w:numId w:val="1"/>
              </w:numPr>
              <w:spacing w:after="0" w:line="360" w:lineRule="auto"/>
              <w:ind w:left="0" w:right="-900" w:hanging="142"/>
              <w:jc w:val="both"/>
              <w:rPr>
                <w:rFonts w:ascii="Times New Roman" w:hAnsi="Times New Roman" w:cs="Times New Roman"/>
                <w:b/>
                <w:bCs/>
                <w:sz w:val="24"/>
                <w:szCs w:val="24"/>
                <w:lang w:bidi="ar-IQ"/>
              </w:rPr>
            </w:pPr>
            <w:r w:rsidRPr="004528DA">
              <w:rPr>
                <w:rFonts w:ascii="Times New Roman" w:hAnsi="Times New Roman" w:cs="Times New Roman"/>
                <w:b/>
                <w:bCs/>
                <w:sz w:val="24"/>
                <w:szCs w:val="24"/>
                <w:rtl/>
                <w:lang w:bidi="ar-IQ"/>
              </w:rPr>
              <w:t>النظرية الكينزية</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العاشر: نظرية الفائدة</w:t>
            </w:r>
          </w:p>
          <w:p w:rsidR="00E57412" w:rsidRPr="004528DA" w:rsidRDefault="00E57412" w:rsidP="00221D2B">
            <w:pPr>
              <w:pStyle w:val="a3"/>
              <w:numPr>
                <w:ilvl w:val="0"/>
                <w:numId w:val="1"/>
              </w:numPr>
              <w:spacing w:after="0" w:line="360" w:lineRule="auto"/>
              <w:ind w:left="0" w:right="-900" w:hanging="142"/>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النظرية الكلاسيكية</w:t>
            </w:r>
          </w:p>
          <w:p w:rsidR="00E57412" w:rsidRPr="004528DA" w:rsidRDefault="00E57412" w:rsidP="00221D2B">
            <w:pPr>
              <w:pStyle w:val="a3"/>
              <w:numPr>
                <w:ilvl w:val="0"/>
                <w:numId w:val="1"/>
              </w:numPr>
              <w:spacing w:after="0" w:line="360" w:lineRule="auto"/>
              <w:ind w:left="0" w:right="-900" w:hanging="142"/>
              <w:jc w:val="both"/>
              <w:rPr>
                <w:rFonts w:ascii="Times New Roman" w:hAnsi="Times New Roman" w:cs="Times New Roman"/>
                <w:b/>
                <w:bCs/>
                <w:sz w:val="24"/>
                <w:szCs w:val="24"/>
                <w:lang w:bidi="ar-IQ"/>
              </w:rPr>
            </w:pPr>
            <w:r w:rsidRPr="004528DA">
              <w:rPr>
                <w:rFonts w:ascii="Times New Roman" w:hAnsi="Times New Roman" w:cs="Times New Roman"/>
                <w:b/>
                <w:bCs/>
                <w:sz w:val="24"/>
                <w:szCs w:val="24"/>
                <w:rtl/>
                <w:lang w:bidi="ar-IQ"/>
              </w:rPr>
              <w:t>النظرية الكلاسيكية المُحدّثة</w:t>
            </w:r>
          </w:p>
          <w:p w:rsidR="00E57412" w:rsidRDefault="00E57412" w:rsidP="00221D2B">
            <w:pPr>
              <w:pStyle w:val="a3"/>
              <w:numPr>
                <w:ilvl w:val="0"/>
                <w:numId w:val="1"/>
              </w:numPr>
              <w:spacing w:after="0" w:line="360" w:lineRule="auto"/>
              <w:ind w:left="0" w:right="-900" w:hanging="142"/>
              <w:jc w:val="both"/>
              <w:rPr>
                <w:rFonts w:ascii="Times New Roman" w:hAnsi="Times New Roman" w:cs="Times New Roman"/>
                <w:b/>
                <w:bCs/>
                <w:sz w:val="24"/>
                <w:szCs w:val="24"/>
                <w:lang w:bidi="ar-IQ"/>
              </w:rPr>
            </w:pPr>
            <w:r w:rsidRPr="004528DA">
              <w:rPr>
                <w:rFonts w:ascii="Times New Roman" w:hAnsi="Times New Roman" w:cs="Times New Roman"/>
                <w:b/>
                <w:bCs/>
                <w:sz w:val="24"/>
                <w:szCs w:val="24"/>
                <w:rtl/>
                <w:lang w:bidi="ar-IQ"/>
              </w:rPr>
              <w:t>النظرية الكينزية</w:t>
            </w:r>
          </w:p>
          <w:p w:rsidR="00E57412" w:rsidRDefault="00E57412" w:rsidP="00221D2B">
            <w:pPr>
              <w:pStyle w:val="a3"/>
              <w:numPr>
                <w:ilvl w:val="0"/>
                <w:numId w:val="1"/>
              </w:numPr>
              <w:spacing w:after="0" w:line="360" w:lineRule="auto"/>
              <w:ind w:left="0" w:right="-900" w:hanging="142"/>
              <w:jc w:val="both"/>
              <w:rPr>
                <w:rFonts w:ascii="Times New Roman" w:hAnsi="Times New Roman" w:cs="Times New Roman"/>
                <w:b/>
                <w:bCs/>
                <w:sz w:val="24"/>
                <w:szCs w:val="24"/>
                <w:lang w:bidi="ar-IQ"/>
              </w:rPr>
            </w:pPr>
            <w:r>
              <w:rPr>
                <w:rFonts w:ascii="Times New Roman" w:hAnsi="Times New Roman" w:cs="Times New Roman" w:hint="cs"/>
                <w:b/>
                <w:bCs/>
                <w:sz w:val="24"/>
                <w:szCs w:val="24"/>
                <w:rtl/>
                <w:lang w:bidi="ar-IQ"/>
              </w:rPr>
              <w:t>النظرية الحديثة</w:t>
            </w:r>
          </w:p>
          <w:p w:rsidR="00E57412" w:rsidRPr="004528DA" w:rsidRDefault="00E57412" w:rsidP="00221D2B">
            <w:pPr>
              <w:pStyle w:val="a3"/>
              <w:numPr>
                <w:ilvl w:val="0"/>
                <w:numId w:val="1"/>
              </w:numPr>
              <w:spacing w:after="0" w:line="360" w:lineRule="auto"/>
              <w:ind w:left="0" w:right="-900" w:hanging="142"/>
              <w:jc w:val="both"/>
              <w:rPr>
                <w:rFonts w:ascii="Times New Roman" w:hAnsi="Times New Roman" w:cs="Times New Roman"/>
                <w:b/>
                <w:bCs/>
                <w:sz w:val="24"/>
                <w:szCs w:val="24"/>
                <w:lang w:bidi="ar-IQ"/>
              </w:rPr>
            </w:pPr>
            <w:r>
              <w:rPr>
                <w:rFonts w:ascii="Times New Roman" w:hAnsi="Times New Roman" w:cs="Times New Roman" w:hint="cs"/>
                <w:b/>
                <w:bCs/>
                <w:sz w:val="24"/>
                <w:szCs w:val="24"/>
                <w:rtl/>
                <w:lang w:bidi="ar-IQ"/>
              </w:rPr>
              <w:t>نظرية التوقعات الرشيدة</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الحادي عشر: نظرية التوازن</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الثاني عشر: النظرية الكمّية الجديدة – المدرسة النقودية</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الثالث عشر</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الرابع عشر</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الخامس عشر: الآثار النقدية للسياسة المالية</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السادس عشر: التضخّم</w:t>
            </w:r>
          </w:p>
          <w:p w:rsidR="00E57412" w:rsidRPr="004528DA" w:rsidRDefault="00E57412" w:rsidP="00221D2B">
            <w:pPr>
              <w:spacing w:after="0" w:line="360" w:lineRule="auto"/>
              <w:ind w:right="-90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الفصل السابع عشر : النقود والمصارف في الاقتصاد العراقي</w:t>
            </w:r>
            <w:r>
              <w:rPr>
                <w:rFonts w:ascii="Times New Roman" w:hAnsi="Times New Roman" w:cs="Times New Roman" w:hint="cs"/>
                <w:b/>
                <w:bCs/>
                <w:sz w:val="24"/>
                <w:szCs w:val="24"/>
                <w:u w:val="single"/>
                <w:rtl/>
                <w:lang w:bidi="ar-IQ"/>
              </w:rPr>
              <w:t xml:space="preserve">                                                118                         </w:t>
            </w:r>
          </w:p>
        </w:tc>
        <w:tc>
          <w:tcPr>
            <w:tcW w:w="1054" w:type="dxa"/>
            <w:tcBorders>
              <w:top w:val="thinThickSmallGap" w:sz="24" w:space="0" w:color="auto"/>
              <w:left w:val="thinThickSmallGap" w:sz="24" w:space="0" w:color="auto"/>
              <w:bottom w:val="single" w:sz="4" w:space="0" w:color="auto"/>
              <w:right w:val="thinThickSmallGap" w:sz="24" w:space="0" w:color="auto"/>
            </w:tcBorders>
          </w:tcPr>
          <w:p w:rsidR="00E57412" w:rsidRPr="004528DA" w:rsidRDefault="00E57412" w:rsidP="00221D2B">
            <w:pPr>
              <w:spacing w:after="0" w:line="360" w:lineRule="auto"/>
              <w:jc w:val="center"/>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2</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4</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6</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11</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29</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33</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42</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49</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69</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70</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73</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77</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b/>
                <w:bCs/>
                <w:sz w:val="24"/>
                <w:szCs w:val="24"/>
                <w:lang w:bidi="ar-IQ"/>
              </w:rPr>
              <w:t>88</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b/>
                <w:bCs/>
                <w:sz w:val="24"/>
                <w:szCs w:val="24"/>
                <w:lang w:bidi="ar-IQ"/>
              </w:rPr>
              <w:t>89</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b/>
                <w:bCs/>
                <w:sz w:val="24"/>
                <w:szCs w:val="24"/>
                <w:lang w:bidi="ar-IQ"/>
              </w:rPr>
              <w:t>90</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b/>
                <w:bCs/>
                <w:sz w:val="24"/>
                <w:szCs w:val="24"/>
                <w:lang w:bidi="ar-IQ"/>
              </w:rPr>
              <w:t>92</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93</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94</w:t>
            </w:r>
          </w:p>
          <w:p w:rsidR="00E57412" w:rsidRPr="004528DA"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95</w:t>
            </w:r>
          </w:p>
          <w:p w:rsidR="00E57412" w:rsidRDefault="00E57412" w:rsidP="00221D2B">
            <w:pPr>
              <w:spacing w:after="0" w:line="360" w:lineRule="auto"/>
              <w:jc w:val="center"/>
              <w:rPr>
                <w:rFonts w:ascii="Times New Roman" w:hAnsi="Times New Roman" w:cs="Times New Roman"/>
                <w:b/>
                <w:bCs/>
                <w:sz w:val="24"/>
                <w:szCs w:val="24"/>
                <w:rtl/>
                <w:lang w:bidi="ar-IQ"/>
              </w:rPr>
            </w:pPr>
          </w:p>
          <w:p w:rsidR="00E57412" w:rsidRDefault="00E57412" w:rsidP="00221D2B">
            <w:pPr>
              <w:spacing w:after="0" w:line="360" w:lineRule="auto"/>
              <w:jc w:val="center"/>
              <w:rPr>
                <w:rFonts w:ascii="Times New Roman" w:hAnsi="Times New Roman" w:cs="Times New Roman"/>
                <w:b/>
                <w:bCs/>
                <w:sz w:val="24"/>
                <w:szCs w:val="24"/>
                <w:rtl/>
                <w:lang w:bidi="ar-IQ"/>
              </w:rPr>
            </w:pPr>
          </w:p>
          <w:p w:rsidR="00E57412" w:rsidRPr="004528DA" w:rsidRDefault="00E57412" w:rsidP="00221D2B">
            <w:pPr>
              <w:spacing w:after="0" w:line="360" w:lineRule="auto"/>
              <w:jc w:val="center"/>
              <w:rPr>
                <w:rFonts w:ascii="Times New Roman" w:hAnsi="Times New Roman" w:cs="Times New Roman"/>
                <w:b/>
                <w:bCs/>
                <w:sz w:val="24"/>
                <w:szCs w:val="24"/>
                <w:rtl/>
                <w:lang w:bidi="ar-IQ"/>
              </w:rPr>
            </w:pPr>
          </w:p>
          <w:p w:rsidR="00E57412" w:rsidRDefault="00E57412" w:rsidP="00221D2B">
            <w:pPr>
              <w:spacing w:after="0" w:line="360" w:lineRule="auto"/>
              <w:jc w:val="center"/>
              <w:rPr>
                <w:rFonts w:ascii="Times New Roman" w:hAnsi="Times New Roman" w:cs="Times New Roman"/>
                <w:b/>
                <w:bCs/>
                <w:sz w:val="24"/>
                <w:szCs w:val="24"/>
                <w:rtl/>
                <w:lang w:bidi="ar-IQ"/>
              </w:rPr>
            </w:pPr>
            <w:r>
              <w:rPr>
                <w:rFonts w:ascii="Times New Roman" w:hAnsi="Times New Roman" w:cs="Times New Roman" w:hint="cs"/>
                <w:b/>
                <w:bCs/>
                <w:sz w:val="24"/>
                <w:szCs w:val="24"/>
                <w:rtl/>
                <w:lang w:bidi="ar-IQ"/>
              </w:rPr>
              <w:t>100</w:t>
            </w:r>
          </w:p>
          <w:p w:rsidR="00E57412" w:rsidRPr="007B3F5E" w:rsidRDefault="00E57412" w:rsidP="00221D2B">
            <w:pPr>
              <w:rPr>
                <w:rFonts w:ascii="Times New Roman" w:hAnsi="Times New Roman" w:cs="Times New Roman"/>
                <w:b/>
                <w:bCs/>
                <w:sz w:val="24"/>
                <w:szCs w:val="24"/>
                <w:rtl/>
                <w:lang w:bidi="ar-IQ"/>
              </w:rPr>
            </w:pPr>
            <w:r w:rsidRPr="007B3F5E">
              <w:rPr>
                <w:rFonts w:ascii="Times New Roman" w:hAnsi="Times New Roman" w:cs="Times New Roman" w:hint="cs"/>
                <w:b/>
                <w:bCs/>
                <w:sz w:val="24"/>
                <w:szCs w:val="24"/>
                <w:rtl/>
                <w:lang w:bidi="ar-IQ"/>
              </w:rPr>
              <w:t>101</w:t>
            </w:r>
            <w:r>
              <w:rPr>
                <w:rFonts w:ascii="Times New Roman" w:hAnsi="Times New Roman" w:cs="Times New Roman" w:hint="cs"/>
                <w:b/>
                <w:bCs/>
                <w:sz w:val="24"/>
                <w:szCs w:val="24"/>
                <w:rtl/>
                <w:lang w:bidi="ar-IQ"/>
              </w:rPr>
              <w:t xml:space="preserve">  </w:t>
            </w:r>
          </w:p>
        </w:tc>
      </w:tr>
      <w:tr w:rsidR="00E57412" w:rsidRPr="004528DA" w:rsidTr="00221D2B">
        <w:trPr>
          <w:trHeight w:val="20"/>
        </w:trPr>
        <w:tc>
          <w:tcPr>
            <w:tcW w:w="1020" w:type="dxa"/>
            <w:tcBorders>
              <w:top w:val="thickThinSmallGap" w:sz="24" w:space="0" w:color="auto"/>
              <w:left w:val="thinThickSmallGap" w:sz="24" w:space="0" w:color="auto"/>
              <w:bottom w:val="thinThickSmallGap" w:sz="24" w:space="0" w:color="auto"/>
              <w:right w:val="thinThickSmallGap" w:sz="24" w:space="0" w:color="auto"/>
            </w:tcBorders>
            <w:hideMark/>
          </w:tcPr>
          <w:p w:rsidR="00E57412" w:rsidRPr="004528DA" w:rsidRDefault="00E57412" w:rsidP="00221D2B">
            <w:pPr>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 xml:space="preserve">  </w:t>
            </w:r>
          </w:p>
        </w:tc>
        <w:tc>
          <w:tcPr>
            <w:tcW w:w="8132" w:type="dxa"/>
            <w:tcBorders>
              <w:top w:val="thickThinSmallGap" w:sz="24" w:space="0" w:color="auto"/>
              <w:left w:val="thinThickSmallGap" w:sz="24" w:space="0" w:color="auto"/>
              <w:bottom w:val="thinThickSmallGap" w:sz="24" w:space="0" w:color="auto"/>
              <w:right w:val="thinThickSmallGap" w:sz="24" w:space="0" w:color="auto"/>
            </w:tcBorders>
            <w:hideMark/>
          </w:tcPr>
          <w:p w:rsidR="00E57412" w:rsidRPr="004528DA" w:rsidRDefault="00E57412" w:rsidP="00221D2B">
            <w:pPr>
              <w:spacing w:after="0" w:line="360" w:lineRule="auto"/>
              <w:ind w:left="-720" w:right="-900"/>
              <w:jc w:val="center"/>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مجموع الساعات النظــــــــــــــــــــــــــــــريـــــــــة</w:t>
            </w:r>
          </w:p>
        </w:tc>
        <w:tc>
          <w:tcPr>
            <w:tcW w:w="1054" w:type="dxa"/>
            <w:tcBorders>
              <w:top w:val="thickThinSmallGap" w:sz="24" w:space="0" w:color="auto"/>
              <w:left w:val="thinThickSmallGap" w:sz="24" w:space="0" w:color="auto"/>
              <w:bottom w:val="thinThickSmallGap" w:sz="24" w:space="0" w:color="auto"/>
              <w:right w:val="thinThickSmallGap" w:sz="24" w:space="0" w:color="auto"/>
            </w:tcBorders>
            <w:hideMark/>
          </w:tcPr>
          <w:p w:rsidR="00E57412" w:rsidRPr="004528DA" w:rsidRDefault="00E57412" w:rsidP="00221D2B">
            <w:pPr>
              <w:spacing w:after="0" w:line="360" w:lineRule="auto"/>
              <w:jc w:val="center"/>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45</w:t>
            </w:r>
          </w:p>
        </w:tc>
      </w:tr>
    </w:tbl>
    <w:p w:rsidR="00E57412" w:rsidRPr="004528DA" w:rsidRDefault="00E57412" w:rsidP="00E57412">
      <w:pPr>
        <w:spacing w:after="0" w:line="360" w:lineRule="auto"/>
        <w:ind w:left="-720" w:right="-900"/>
        <w:jc w:val="both"/>
        <w:rPr>
          <w:rFonts w:ascii="Times New Roman" w:hAnsi="Times New Roman" w:cs="Times New Roman"/>
          <w:b/>
          <w:bCs/>
          <w:sz w:val="24"/>
          <w:szCs w:val="24"/>
          <w:rtl/>
          <w:lang w:bidi="ar-IQ"/>
        </w:rPr>
      </w:pPr>
    </w:p>
    <w:p w:rsidR="00E57412" w:rsidRPr="004528DA" w:rsidRDefault="00E57412" w:rsidP="00E57412">
      <w:pPr>
        <w:spacing w:after="0" w:line="360" w:lineRule="auto"/>
        <w:ind w:left="-720" w:right="-900"/>
        <w:jc w:val="center"/>
        <w:rPr>
          <w:rFonts w:ascii="Times New Roman" w:hAnsi="Times New Roman" w:cs="Times New Roman"/>
          <w:b/>
          <w:bCs/>
          <w:sz w:val="24"/>
          <w:szCs w:val="24"/>
          <w:u w:val="single"/>
          <w:lang w:bidi="ar-IQ"/>
        </w:rPr>
      </w:pPr>
      <w:r w:rsidRPr="004528DA">
        <w:rPr>
          <w:rFonts w:ascii="Times New Roman" w:hAnsi="Times New Roman" w:cs="Times New Roman"/>
          <w:b/>
          <w:bCs/>
          <w:sz w:val="24"/>
          <w:szCs w:val="24"/>
          <w:u w:val="single"/>
          <w:rtl/>
          <w:lang w:bidi="ar-IQ"/>
        </w:rPr>
        <w:lastRenderedPageBreak/>
        <w:t>الفصل الأول: الإطار المفاهيمي والتاريخي للنقود</w:t>
      </w:r>
    </w:p>
    <w:p w:rsidR="00E57412" w:rsidRPr="004528DA" w:rsidRDefault="00E57412" w:rsidP="00E57412">
      <w:pPr>
        <w:spacing w:after="0" w:line="360" w:lineRule="auto"/>
        <w:ind w:left="-720" w:right="-900"/>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مفهوم وأنواع ووظائف النقود</w:t>
      </w:r>
    </w:p>
    <w:p w:rsidR="00E57412" w:rsidRPr="004528DA" w:rsidRDefault="00E57412" w:rsidP="00E57412">
      <w:pPr>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u w:val="single"/>
          <w:rtl/>
          <w:lang w:bidi="ar-IQ"/>
        </w:rPr>
        <w:t>مفهوم النقود</w:t>
      </w:r>
      <w:r w:rsidRPr="004528DA">
        <w:rPr>
          <w:rFonts w:ascii="Times New Roman" w:hAnsi="Times New Roman" w:cs="Times New Roman"/>
          <w:b/>
          <w:bCs/>
          <w:sz w:val="24"/>
          <w:szCs w:val="24"/>
          <w:rtl/>
          <w:lang w:bidi="ar-IQ"/>
        </w:rPr>
        <w:t xml:space="preserve"> </w:t>
      </w:r>
      <w:r w:rsidRPr="004528DA">
        <w:rPr>
          <w:rFonts w:ascii="Times New Roman" w:hAnsi="Times New Roman" w:cs="Times New Roman"/>
          <w:b/>
          <w:bCs/>
          <w:sz w:val="24"/>
          <w:szCs w:val="24"/>
          <w:lang w:bidi="ar-IQ"/>
        </w:rPr>
        <w:t>Concept of Money:</w:t>
      </w:r>
    </w:p>
    <w:p w:rsidR="00E57412" w:rsidRPr="004528DA" w:rsidRDefault="00E57412" w:rsidP="00E57412">
      <w:pPr>
        <w:spacing w:after="0" w:line="360" w:lineRule="auto"/>
        <w:ind w:left="-720" w:right="-900"/>
        <w:jc w:val="both"/>
        <w:rPr>
          <w:rFonts w:ascii="Times New Roman" w:hAnsi="Times New Roman" w:cs="Times New Roman"/>
          <w:b/>
          <w:bCs/>
          <w:sz w:val="24"/>
          <w:szCs w:val="24"/>
          <w:lang w:bidi="ar-IQ"/>
        </w:rPr>
      </w:pPr>
      <w:r w:rsidRPr="004528DA">
        <w:rPr>
          <w:rFonts w:ascii="Times New Roman" w:hAnsi="Times New Roman" w:cs="Times New Roman"/>
          <w:b/>
          <w:bCs/>
          <w:sz w:val="24"/>
          <w:szCs w:val="24"/>
          <w:rtl/>
          <w:lang w:bidi="ar-IQ"/>
        </w:rPr>
        <w:t xml:space="preserve">عندما تحولت البشرية من مرحلة المقايضة </w:t>
      </w:r>
      <w:r w:rsidRPr="004528DA">
        <w:rPr>
          <w:rFonts w:ascii="Times New Roman" w:hAnsi="Times New Roman" w:cs="Times New Roman"/>
          <w:b/>
          <w:bCs/>
          <w:sz w:val="24"/>
          <w:szCs w:val="24"/>
          <w:lang w:bidi="ar-IQ"/>
        </w:rPr>
        <w:t>barter</w:t>
      </w:r>
      <w:r w:rsidRPr="004528DA">
        <w:rPr>
          <w:rFonts w:ascii="Times New Roman" w:hAnsi="Times New Roman" w:cs="Times New Roman"/>
          <w:b/>
          <w:bCs/>
          <w:sz w:val="24"/>
          <w:szCs w:val="24"/>
          <w:rtl/>
          <w:lang w:bidi="ar-IQ"/>
        </w:rPr>
        <w:t xml:space="preserve"> (تبادل السلع بسلع أخرى) الى مرحلة التبادل فيما بين السلع والخدمات، كان لابد من ايجاد عنصر (وسيط) في التبادل. وكان هذا الوسيط يتمثّل في النقود.</w:t>
      </w:r>
    </w:p>
    <w:p w:rsidR="00E57412" w:rsidRPr="004528DA" w:rsidRDefault="00E57412" w:rsidP="00E57412">
      <w:pPr>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ويعدُّ استخدام النقود كوسيلة للمبادلة من التحولات الهامة والحاسمة في تسهيل المبادلات وتسويتها فيما بين الأفراد والمجتمعات. ويتجلى هذا التحول في توسع حجم التبادل السلعي. فبدلاً من اقتصاره، في أول الأمر، على مقايضة سلعة بأخرى مباشرة، ودون وسيط يفصل بين عمليتي البيع والشراء، أصبح هذا الحجم يتسع لتبادل سلعة بسلعة أخرى، بصورة غير مباشرة، عن طريق وسيط يساعد على تبادل السلع بسهولة.</w:t>
      </w:r>
    </w:p>
    <w:p w:rsidR="00E57412" w:rsidRPr="004528DA" w:rsidRDefault="00E57412" w:rsidP="00E57412">
      <w:pPr>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وهكذا، تُعَدّ النقود اي وسيط للتبادل فيما بين سلعتين، أو خدمتين، أو أكثر، بشرط تمكن هذا الوسيط من اداء وظائف أخرى تكميلية، وأن يكون مقبولاً قبولاً عاماً لدى الأطراف المتعاملة به.</w:t>
      </w:r>
    </w:p>
    <w:p w:rsidR="00E57412" w:rsidRPr="004528DA" w:rsidRDefault="00E57412" w:rsidP="00E57412">
      <w:pPr>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وهذا يتفق مع تعريف النقود على انها ((كل شيء يلاقي قبولاً عاماً بين الافراد، كوسيط للتبادل، أو إبراء الذمم، أو تسوية الديون)). ويعود قبول الأفراد للنقود قبولاً عاماً، الى قيمتها السلعية والاسمية. فالقيمة السلعية، تُرجح سبب القبول الى أن النقود هي سلعة اقتصادية، كبقية السلع الأخرى. أما القيمة الاسمية، أو الرمزية، فترجح سبب القبول الى قوة القانون.</w:t>
      </w:r>
    </w:p>
    <w:p w:rsidR="00E57412" w:rsidRPr="004528DA" w:rsidRDefault="00E57412" w:rsidP="00E57412">
      <w:pPr>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مما سبق، نستنتج بأن النقود لا تُطلب لذاتها، كسلعة، يمكنها إشباع الحاجات الاستهلاكية والانتاجية مباشرة، وإنما تُطلب لاستخدامها في تحقيق منفعة استهلاكية معينة، وتُطلب ايضاً لتسهيل تبادل السلع والخدمات المختلفة، أي أنها تلبي تلك الحاجات الاستهلاكية والانتاجية بصورة غير مباشرة.</w:t>
      </w:r>
    </w:p>
    <w:p w:rsidR="00E57412" w:rsidRPr="004528DA" w:rsidRDefault="00E57412" w:rsidP="00E57412">
      <w:pPr>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ويمكن تعريف النقود، إجرائياً، على أنها ((كل شيء يقبله الجميع قبولاً عاماً بحكم القانون، أو العُرف، ويكون وسيطاً للتبادل في عمليات مبادلة السلع والخدمات المختلفة، ويعمل على تسوية الديون، وإبراء الذمم.</w:t>
      </w:r>
    </w:p>
    <w:p w:rsidR="00E57412" w:rsidRPr="004528DA" w:rsidRDefault="00E57412" w:rsidP="00E57412">
      <w:pPr>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u w:val="single"/>
          <w:rtl/>
          <w:lang w:bidi="ar-IQ"/>
        </w:rPr>
        <w:t>أنواع النقود</w:t>
      </w:r>
      <w:r w:rsidRPr="004528DA">
        <w:rPr>
          <w:rFonts w:ascii="Times New Roman" w:hAnsi="Times New Roman" w:cs="Times New Roman"/>
          <w:b/>
          <w:bCs/>
          <w:sz w:val="24"/>
          <w:szCs w:val="24"/>
          <w:rtl/>
          <w:lang w:bidi="ar-IQ"/>
        </w:rPr>
        <w:t xml:space="preserve">: </w:t>
      </w:r>
      <w:r w:rsidRPr="004528DA">
        <w:rPr>
          <w:rFonts w:ascii="Times New Roman" w:hAnsi="Times New Roman" w:cs="Times New Roman"/>
          <w:b/>
          <w:bCs/>
          <w:sz w:val="24"/>
          <w:szCs w:val="24"/>
          <w:lang w:bidi="ar-IQ"/>
        </w:rPr>
        <w:t>Types of Money</w:t>
      </w:r>
    </w:p>
    <w:p w:rsidR="00E57412" w:rsidRPr="004528DA" w:rsidRDefault="00E57412" w:rsidP="00E57412">
      <w:pPr>
        <w:spacing w:after="0" w:line="360" w:lineRule="auto"/>
        <w:ind w:left="-720" w:right="-900"/>
        <w:jc w:val="both"/>
        <w:rPr>
          <w:rFonts w:ascii="Times New Roman" w:hAnsi="Times New Roman" w:cs="Times New Roman"/>
          <w:b/>
          <w:bCs/>
          <w:sz w:val="24"/>
          <w:szCs w:val="24"/>
          <w:lang w:bidi="ar-IQ"/>
        </w:rPr>
      </w:pPr>
      <w:r w:rsidRPr="004528DA">
        <w:rPr>
          <w:rFonts w:ascii="Times New Roman" w:hAnsi="Times New Roman" w:cs="Times New Roman"/>
          <w:b/>
          <w:bCs/>
          <w:sz w:val="24"/>
          <w:szCs w:val="24"/>
          <w:rtl/>
          <w:lang w:bidi="ar-IQ"/>
        </w:rPr>
        <w:t>يمكن تقسيم النقود بحسب تطورها التاريخي الى الانواع الآتية:</w:t>
      </w:r>
    </w:p>
    <w:p w:rsidR="00E57412" w:rsidRPr="004528DA" w:rsidRDefault="00E57412" w:rsidP="00E57412">
      <w:pPr>
        <w:pStyle w:val="a3"/>
        <w:numPr>
          <w:ilvl w:val="0"/>
          <w:numId w:val="2"/>
        </w:numPr>
        <w:spacing w:after="0" w:line="360" w:lineRule="auto"/>
        <w:ind w:left="-720" w:right="-900" w:firstLine="0"/>
        <w:jc w:val="both"/>
        <w:rPr>
          <w:rFonts w:ascii="Times New Roman" w:hAnsi="Times New Roman" w:cs="Times New Roman"/>
          <w:b/>
          <w:bCs/>
          <w:sz w:val="24"/>
          <w:szCs w:val="24"/>
          <w:u w:val="single"/>
          <w:rtl/>
          <w:lang w:bidi="ar-IQ"/>
        </w:rPr>
      </w:pPr>
      <w:r w:rsidRPr="004528DA">
        <w:rPr>
          <w:rFonts w:ascii="Times New Roman" w:hAnsi="Times New Roman" w:cs="Times New Roman"/>
          <w:b/>
          <w:bCs/>
          <w:sz w:val="24"/>
          <w:szCs w:val="24"/>
          <w:u w:val="single"/>
          <w:rtl/>
          <w:lang w:bidi="ar-IQ"/>
        </w:rPr>
        <w:t>النقود السلعية</w:t>
      </w:r>
      <w:r w:rsidRPr="004528DA">
        <w:rPr>
          <w:rFonts w:ascii="Times New Roman" w:hAnsi="Times New Roman" w:cs="Times New Roman"/>
          <w:b/>
          <w:bCs/>
          <w:sz w:val="24"/>
          <w:szCs w:val="24"/>
          <w:rtl/>
          <w:lang w:bidi="ar-IQ"/>
        </w:rPr>
        <w:t xml:space="preserve">: </w:t>
      </w:r>
      <w:r w:rsidRPr="004528DA">
        <w:rPr>
          <w:rFonts w:ascii="Times New Roman" w:hAnsi="Times New Roman" w:cs="Times New Roman"/>
          <w:b/>
          <w:bCs/>
          <w:sz w:val="24"/>
          <w:szCs w:val="24"/>
          <w:lang w:bidi="ar-IQ"/>
        </w:rPr>
        <w:t>Commodity Money</w:t>
      </w:r>
    </w:p>
    <w:p w:rsidR="00E57412" w:rsidRPr="004528DA" w:rsidRDefault="00E57412" w:rsidP="00E57412">
      <w:pPr>
        <w:pStyle w:val="a3"/>
        <w:spacing w:after="0" w:line="360" w:lineRule="auto"/>
        <w:ind w:left="-720" w:right="-900"/>
        <w:jc w:val="both"/>
        <w:rPr>
          <w:rFonts w:ascii="Times New Roman" w:hAnsi="Times New Roman" w:cs="Times New Roman"/>
          <w:b/>
          <w:bCs/>
          <w:sz w:val="24"/>
          <w:szCs w:val="24"/>
          <w:lang w:bidi="ar-IQ"/>
        </w:rPr>
      </w:pPr>
      <w:r w:rsidRPr="004528DA">
        <w:rPr>
          <w:rFonts w:ascii="Times New Roman" w:hAnsi="Times New Roman" w:cs="Times New Roman"/>
          <w:b/>
          <w:bCs/>
          <w:sz w:val="24"/>
          <w:szCs w:val="24"/>
          <w:rtl/>
          <w:lang w:bidi="ar-IQ"/>
        </w:rPr>
        <w:t>وعادة ما تشمل هذه النقود الانواع التالية:</w:t>
      </w:r>
    </w:p>
    <w:p w:rsidR="00E57412" w:rsidRPr="004528DA" w:rsidRDefault="00E57412" w:rsidP="00E57412">
      <w:pPr>
        <w:pStyle w:val="a3"/>
        <w:numPr>
          <w:ilvl w:val="0"/>
          <w:numId w:val="3"/>
        </w:numPr>
        <w:spacing w:after="0" w:line="360" w:lineRule="auto"/>
        <w:ind w:left="-720" w:right="-900" w:firstLine="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u w:val="single"/>
          <w:rtl/>
          <w:lang w:bidi="ar-IQ"/>
        </w:rPr>
        <w:t>سلع عادية</w:t>
      </w:r>
      <w:r w:rsidRPr="004528DA">
        <w:rPr>
          <w:rFonts w:ascii="Times New Roman" w:hAnsi="Times New Roman" w:cs="Times New Roman"/>
          <w:b/>
          <w:bCs/>
          <w:sz w:val="24"/>
          <w:szCs w:val="24"/>
          <w:rtl/>
          <w:lang w:bidi="ar-IQ"/>
        </w:rPr>
        <w:t xml:space="preserve">: </w:t>
      </w:r>
      <w:r w:rsidRPr="004528DA">
        <w:rPr>
          <w:rFonts w:ascii="Times New Roman" w:hAnsi="Times New Roman" w:cs="Times New Roman"/>
          <w:b/>
          <w:bCs/>
          <w:sz w:val="24"/>
          <w:szCs w:val="24"/>
          <w:lang w:bidi="ar-IQ"/>
        </w:rPr>
        <w:t>Ordinary goods</w:t>
      </w:r>
    </w:p>
    <w:p w:rsidR="00E57412" w:rsidRPr="004528DA" w:rsidRDefault="00E57412" w:rsidP="00E57412">
      <w:pPr>
        <w:pStyle w:val="a3"/>
        <w:spacing w:after="0" w:line="360" w:lineRule="auto"/>
        <w:ind w:left="-720" w:right="-900"/>
        <w:jc w:val="both"/>
        <w:rPr>
          <w:rFonts w:ascii="Times New Roman" w:hAnsi="Times New Roman" w:cs="Times New Roman"/>
          <w:b/>
          <w:bCs/>
          <w:sz w:val="24"/>
          <w:szCs w:val="24"/>
          <w:lang w:bidi="ar-IQ"/>
        </w:rPr>
      </w:pPr>
      <w:r w:rsidRPr="004528DA">
        <w:rPr>
          <w:rFonts w:ascii="Times New Roman" w:hAnsi="Times New Roman" w:cs="Times New Roman"/>
          <w:b/>
          <w:bCs/>
          <w:sz w:val="24"/>
          <w:szCs w:val="24"/>
          <w:lang w:bidi="ar-IQ"/>
        </w:rPr>
        <w:t xml:space="preserve"> </w:t>
      </w:r>
      <w:r w:rsidRPr="004528DA">
        <w:rPr>
          <w:rFonts w:ascii="Times New Roman" w:hAnsi="Times New Roman" w:cs="Times New Roman"/>
          <w:b/>
          <w:bCs/>
          <w:sz w:val="24"/>
          <w:szCs w:val="24"/>
          <w:rtl/>
          <w:lang w:bidi="ar-IQ"/>
        </w:rPr>
        <w:t>ترتبط تسمية النقود السلعية بهذا الاسم من طبيعة المادة المكونة لها، او المصنوعة منها النقود، مما يجعلها تستخدم كعملة متداولة ما بين الأفراد بمجالات تختلف عن مجالات استخدامها المعتادة. كما أن قيمة النقود، كعملة، مساوية لقيمة السلعة المكونة لها، أو المصنوعة منها، النقود.</w:t>
      </w:r>
    </w:p>
    <w:p w:rsidR="00E57412" w:rsidRPr="004528DA" w:rsidRDefault="00E57412" w:rsidP="00E57412">
      <w:pPr>
        <w:pStyle w:val="a3"/>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وتعد هذه النقود من أولى انواع النقود، التي تعامل بها الأفراد، حيث شملت، أول الامر، سلع معينة متنوعة، مثل الملح والقمح والشاي والتبغ وغيرها. ويعود استخدام الأفراد لهذه السلع، بوصفها نقوداً، الى قبولها قبولاً عاماً، وكونها وسيلة لتسهيل المبادلات، ولها القدرة على الوفاء بالتزاماتهم.</w:t>
      </w:r>
    </w:p>
    <w:p w:rsidR="00E57412" w:rsidRPr="004528DA" w:rsidRDefault="00E57412" w:rsidP="00E57412">
      <w:pPr>
        <w:pStyle w:val="a3"/>
        <w:numPr>
          <w:ilvl w:val="0"/>
          <w:numId w:val="3"/>
        </w:numPr>
        <w:spacing w:after="0" w:line="360" w:lineRule="auto"/>
        <w:ind w:left="-720" w:right="-900" w:firstLine="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u w:val="single"/>
          <w:rtl/>
          <w:lang w:bidi="ar-IQ"/>
        </w:rPr>
        <w:t>النقود المعدنية</w:t>
      </w:r>
      <w:r w:rsidRPr="004528DA">
        <w:rPr>
          <w:rFonts w:ascii="Times New Roman" w:hAnsi="Times New Roman" w:cs="Times New Roman"/>
          <w:b/>
          <w:bCs/>
          <w:sz w:val="24"/>
          <w:szCs w:val="24"/>
          <w:rtl/>
          <w:lang w:bidi="ar-IQ"/>
        </w:rPr>
        <w:t xml:space="preserve">: </w:t>
      </w:r>
      <w:r w:rsidRPr="004528DA">
        <w:rPr>
          <w:rFonts w:ascii="Times New Roman" w:hAnsi="Times New Roman" w:cs="Times New Roman"/>
          <w:b/>
          <w:bCs/>
          <w:sz w:val="24"/>
          <w:szCs w:val="24"/>
          <w:lang w:bidi="ar-IQ"/>
        </w:rPr>
        <w:t>Metal Money</w:t>
      </w:r>
    </w:p>
    <w:p w:rsidR="00E57412" w:rsidRPr="004528DA" w:rsidRDefault="00E57412" w:rsidP="00E57412">
      <w:pPr>
        <w:pStyle w:val="a3"/>
        <w:spacing w:after="0" w:line="360" w:lineRule="auto"/>
        <w:ind w:left="-720" w:right="-900"/>
        <w:jc w:val="both"/>
        <w:rPr>
          <w:rFonts w:ascii="Times New Roman" w:hAnsi="Times New Roman" w:cs="Times New Roman"/>
          <w:b/>
          <w:bCs/>
          <w:sz w:val="24"/>
          <w:szCs w:val="24"/>
          <w:rtl/>
          <w:lang w:bidi="ar-IQ"/>
        </w:rPr>
      </w:pPr>
    </w:p>
    <w:p w:rsidR="00E57412" w:rsidRPr="004528DA" w:rsidRDefault="00E57412" w:rsidP="00E57412">
      <w:pPr>
        <w:pStyle w:val="a3"/>
        <w:spacing w:after="0" w:line="360" w:lineRule="auto"/>
        <w:ind w:left="-720" w:right="-900"/>
        <w:jc w:val="both"/>
        <w:rPr>
          <w:rFonts w:ascii="Times New Roman" w:hAnsi="Times New Roman" w:cs="Times New Roman"/>
          <w:b/>
          <w:bCs/>
          <w:sz w:val="24"/>
          <w:szCs w:val="24"/>
          <w:lang w:bidi="ar-IQ"/>
        </w:rPr>
      </w:pPr>
      <w:r w:rsidRPr="004528DA">
        <w:rPr>
          <w:rFonts w:ascii="Times New Roman" w:hAnsi="Times New Roman" w:cs="Times New Roman"/>
          <w:b/>
          <w:bCs/>
          <w:sz w:val="24"/>
          <w:szCs w:val="24"/>
          <w:rtl/>
          <w:lang w:bidi="ar-IQ"/>
        </w:rPr>
        <w:lastRenderedPageBreak/>
        <w:t>لا تختلف النقود المعدنية عن سابقتها من انواع النقود السلعية، في تأدية نفس الوظائف الأساسية للنقود، في كونها وسيط للتبادل، ومعيار للقيمة، ومخزن لها، وأداةً للادخار والدفع المؤجل. ومن هذه المعادن الذهب والفضة، وبدرجة أقل الحديد والزنك وغيرها. ويعد الذهب والفضة من المعادن النفيسة، وتتمتع بندرة نسبية، مما يدعم قيمتها، بالمقارنة مع الانواع الأخرى من النقود السلعية. كما أنها غير معرضة للتلف او الصدأ، وتتمتع بالمتانة والصلابة، مما يجعل بالإمكان استخدامها مخزناً للقيمة. وتكون قابلة للتجزئة الى وحدات أصغر، مما يسهل التعامل بها. كما أنها سهلة النقل والخزن والحمل، إضافة الى إمكانية التعرف عليها بالعين المجردة. وتكون النقود المعدنية بشكل سبائك ومسكوكات.</w:t>
      </w:r>
    </w:p>
    <w:p w:rsidR="00E57412" w:rsidRPr="004528DA" w:rsidRDefault="00E57412" w:rsidP="00E57412">
      <w:pPr>
        <w:pStyle w:val="a3"/>
        <w:numPr>
          <w:ilvl w:val="0"/>
          <w:numId w:val="2"/>
        </w:numPr>
        <w:spacing w:after="0" w:line="360" w:lineRule="auto"/>
        <w:ind w:left="-720" w:right="-900" w:firstLine="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u w:val="single"/>
          <w:rtl/>
          <w:lang w:bidi="ar-IQ"/>
        </w:rPr>
        <w:t>النقود الائتمانية</w:t>
      </w:r>
      <w:r w:rsidRPr="004528DA">
        <w:rPr>
          <w:rFonts w:ascii="Times New Roman" w:hAnsi="Times New Roman" w:cs="Times New Roman"/>
          <w:b/>
          <w:bCs/>
          <w:sz w:val="24"/>
          <w:szCs w:val="24"/>
          <w:rtl/>
          <w:lang w:bidi="ar-IQ"/>
        </w:rPr>
        <w:t xml:space="preserve">: </w:t>
      </w:r>
    </w:p>
    <w:p w:rsidR="00E57412" w:rsidRPr="004528DA" w:rsidRDefault="00E57412" w:rsidP="00E57412">
      <w:pPr>
        <w:pStyle w:val="a3"/>
        <w:spacing w:after="0" w:line="360" w:lineRule="auto"/>
        <w:ind w:left="-720" w:right="-900"/>
        <w:jc w:val="both"/>
        <w:rPr>
          <w:rFonts w:ascii="Times New Roman" w:hAnsi="Times New Roman" w:cs="Times New Roman"/>
          <w:b/>
          <w:bCs/>
          <w:sz w:val="24"/>
          <w:szCs w:val="24"/>
          <w:lang w:bidi="ar-IQ"/>
        </w:rPr>
      </w:pPr>
      <w:r w:rsidRPr="004528DA">
        <w:rPr>
          <w:rFonts w:ascii="Times New Roman" w:hAnsi="Times New Roman" w:cs="Times New Roman"/>
          <w:b/>
          <w:bCs/>
          <w:sz w:val="24"/>
          <w:szCs w:val="24"/>
          <w:rtl/>
          <w:lang w:bidi="ar-IQ"/>
        </w:rPr>
        <w:t>تراجعت أهمية النقود المعدنية بعد نشوب الحرب العالمية الاولى عام 1914، بالنظر الى محدوديتها، بالنسبة الى الطلب، أو الحاجة إليها، وذلك لصالح تزايد أهمية النقود الائتمانية، وخاصة النقود الورقية.</w:t>
      </w:r>
    </w:p>
    <w:p w:rsidR="00E57412" w:rsidRPr="004528DA" w:rsidRDefault="00E57412" w:rsidP="00E57412">
      <w:pPr>
        <w:pStyle w:val="a3"/>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وتكتسي النقود الائتمانية أهميتها من خلال قبولها العام، المبني على قدرتها في توفير الثقة بتحويلها الى السلعة المرتبطة بها، وعادة ما كانت هذه السلعة الذهب، حيث بالإمكان تحويل الدولار، مثلاً، الى ما يساويه، أو ما يعادل قيمته من الذهب آنذاك. كما تعد النقود الائتمانية دينا لحاملها على ذمة الجهة التي أصدرتها، وحقا لصاحبها في الحصول على ما يساويها من سلع وخدمات.</w:t>
      </w:r>
    </w:p>
    <w:p w:rsidR="00E57412" w:rsidRPr="004528DA" w:rsidRDefault="00E57412" w:rsidP="00E57412">
      <w:pPr>
        <w:pStyle w:val="a3"/>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 xml:space="preserve">وعادة ما تقسم النقود الائتمانية الى نقود ورقية، وأخرى معدنية، بصورة مسكوكات معدنية رمزية </w:t>
      </w:r>
      <w:r w:rsidRPr="004528DA">
        <w:rPr>
          <w:rFonts w:ascii="Times New Roman" w:hAnsi="Times New Roman" w:cs="Times New Roman"/>
          <w:b/>
          <w:bCs/>
          <w:sz w:val="24"/>
          <w:szCs w:val="24"/>
          <w:lang w:bidi="ar-IQ"/>
        </w:rPr>
        <w:t>coins</w:t>
      </w:r>
      <w:r w:rsidRPr="004528DA">
        <w:rPr>
          <w:rFonts w:ascii="Times New Roman" w:hAnsi="Times New Roman" w:cs="Times New Roman"/>
          <w:b/>
          <w:bCs/>
          <w:sz w:val="24"/>
          <w:szCs w:val="24"/>
          <w:rtl/>
          <w:lang w:bidi="ar-IQ"/>
        </w:rPr>
        <w:t xml:space="preserve"> , عادة ما يصدرها المصرف المركزي. كما تشمل ايضاً نقود مصرفية، عادة ما تصدرها المصارف التجارية. وفيما يلي توضيح لهما:</w:t>
      </w:r>
    </w:p>
    <w:p w:rsidR="00E57412" w:rsidRPr="004528DA" w:rsidRDefault="00E57412" w:rsidP="00E57412">
      <w:pPr>
        <w:pStyle w:val="a3"/>
        <w:numPr>
          <w:ilvl w:val="0"/>
          <w:numId w:val="4"/>
        </w:numPr>
        <w:spacing w:after="0" w:line="360" w:lineRule="auto"/>
        <w:ind w:left="-720" w:right="-900" w:firstLine="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u w:val="single"/>
          <w:rtl/>
          <w:lang w:bidi="ar-IQ"/>
        </w:rPr>
        <w:t>النقود الورقية</w:t>
      </w:r>
      <w:r w:rsidRPr="004528DA">
        <w:rPr>
          <w:rFonts w:ascii="Times New Roman" w:hAnsi="Times New Roman" w:cs="Times New Roman"/>
          <w:b/>
          <w:bCs/>
          <w:sz w:val="24"/>
          <w:szCs w:val="24"/>
          <w:rtl/>
          <w:lang w:bidi="ar-IQ"/>
        </w:rPr>
        <w:t xml:space="preserve">: </w:t>
      </w:r>
      <w:r w:rsidRPr="004528DA">
        <w:rPr>
          <w:rFonts w:ascii="Times New Roman" w:hAnsi="Times New Roman" w:cs="Times New Roman"/>
          <w:b/>
          <w:bCs/>
          <w:sz w:val="24"/>
          <w:szCs w:val="24"/>
          <w:lang w:bidi="ar-IQ"/>
        </w:rPr>
        <w:t>Notes</w:t>
      </w:r>
    </w:p>
    <w:p w:rsidR="00E57412" w:rsidRPr="004528DA" w:rsidRDefault="00E57412" w:rsidP="00E57412">
      <w:pPr>
        <w:pStyle w:val="a3"/>
        <w:spacing w:after="0" w:line="360" w:lineRule="auto"/>
        <w:ind w:left="-720" w:right="-900"/>
        <w:jc w:val="both"/>
        <w:rPr>
          <w:rFonts w:ascii="Times New Roman" w:hAnsi="Times New Roman" w:cs="Times New Roman"/>
          <w:b/>
          <w:bCs/>
          <w:sz w:val="24"/>
          <w:szCs w:val="24"/>
          <w:lang w:bidi="ar-IQ"/>
        </w:rPr>
      </w:pPr>
      <w:r w:rsidRPr="004528DA">
        <w:rPr>
          <w:rFonts w:ascii="Times New Roman" w:hAnsi="Times New Roman" w:cs="Times New Roman"/>
          <w:b/>
          <w:bCs/>
          <w:sz w:val="24"/>
          <w:szCs w:val="24"/>
          <w:lang w:bidi="ar-IQ"/>
        </w:rPr>
        <w:t xml:space="preserve"> </w:t>
      </w:r>
      <w:r w:rsidRPr="004528DA">
        <w:rPr>
          <w:rFonts w:ascii="Times New Roman" w:hAnsi="Times New Roman" w:cs="Times New Roman"/>
          <w:b/>
          <w:bCs/>
          <w:sz w:val="24"/>
          <w:szCs w:val="24"/>
          <w:rtl/>
          <w:lang w:bidi="ar-IQ"/>
        </w:rPr>
        <w:t>يعود تاريخ التعامل بالنقود الورقية الى المدة، التي كانت يُحتفظ بها بالنقود المعدنية لدى التجار والصيارفة، الذين كانوا يقبلون إيداع الأفراد لنقودهم لديهم، ويحتفظون بها عندهم، مقابل منح المودّعين إيصالات، أو سندات، تتضمن كمية الأموال المودعة، مع التعهد بإعادتها، ودفعها لحامل الإيصال، أو السند، عند الطلب، ودون تأخير. وبعد مدة من الزمن، استخدم المودعون والصيارفة هذه الإيصالات، أو السندات، كأداةً لتسوية المدفوعات، وإبراء الذمم، بين الأطراف الدائنة والمدينة، مقابل الحصول على فوائد معينة، فضلاً عن الاموال التي حصل عليها التجار والصيارفة، من المودعين، مقابل الاحتفاظ بأموالهم، وحمايتها من السرقة والضياع.</w:t>
      </w:r>
    </w:p>
    <w:p w:rsidR="00E57412" w:rsidRPr="004528DA" w:rsidRDefault="00E57412" w:rsidP="00E57412">
      <w:pPr>
        <w:pStyle w:val="a3"/>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ولاحظ الصيارفة ان الأموال المودعة لديهم، لا تُسحب دفعة واحدة في وقتٍ واحد، مما دفهم الى إصدار إيصالات جديدة، لا تستند الى ودائع حقيقية مودعة لديهم. وأضحت هذه الإيصالات مقبولة، كسابقتها، لدى الآخرين، لأنها أدت وظيفة النقود، كوسيط للتبادل. بمعنى، أنها أصبحت نقوداً ورقية مقبولة قبولاً عاماً، ولو انها لم تساوي حجم الودائع المعدنية، بل تفوقها بكثير، مما جعل الدولة تتدخل لتنظيم عملية إصدار النقود الورقية. وهكذا، نشأت المصارف المركزية، التي احتكرت مهمة الإصدار النقدي الورقي الإلزامي. وصفة الإلزام نابعة من قوة القانون، إذ لا يحق للأفراد والهيئات عدم قبولها، أو المطالبة بتحويلها الى ما يساوي قيمتها من المعدن المغطاة به (كالذهب).</w:t>
      </w:r>
    </w:p>
    <w:p w:rsidR="00E57412" w:rsidRPr="004528DA" w:rsidRDefault="00E57412" w:rsidP="00E57412">
      <w:pPr>
        <w:pStyle w:val="a3"/>
        <w:numPr>
          <w:ilvl w:val="0"/>
          <w:numId w:val="4"/>
        </w:numPr>
        <w:spacing w:after="0" w:line="360" w:lineRule="auto"/>
        <w:ind w:left="-720" w:right="-900" w:firstLine="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u w:val="single"/>
          <w:rtl/>
          <w:lang w:bidi="ar-IQ"/>
        </w:rPr>
        <w:t>النقود المصرفية أو نقود الودائع</w:t>
      </w:r>
      <w:r w:rsidRPr="004528DA">
        <w:rPr>
          <w:rFonts w:ascii="Times New Roman" w:hAnsi="Times New Roman" w:cs="Times New Roman"/>
          <w:b/>
          <w:bCs/>
          <w:sz w:val="24"/>
          <w:szCs w:val="24"/>
          <w:rtl/>
          <w:lang w:bidi="ar-IQ"/>
        </w:rPr>
        <w:t xml:space="preserve">: </w:t>
      </w:r>
      <w:r w:rsidRPr="004528DA">
        <w:rPr>
          <w:rFonts w:ascii="Times New Roman" w:hAnsi="Times New Roman" w:cs="Times New Roman"/>
          <w:b/>
          <w:bCs/>
          <w:sz w:val="24"/>
          <w:szCs w:val="24"/>
          <w:lang w:bidi="ar-IQ"/>
        </w:rPr>
        <w:t>Bank Money or Deposit Money</w:t>
      </w:r>
    </w:p>
    <w:p w:rsidR="00E57412" w:rsidRPr="004528DA" w:rsidRDefault="00E57412" w:rsidP="00E57412">
      <w:pPr>
        <w:spacing w:after="0" w:line="360" w:lineRule="auto"/>
        <w:ind w:left="-720" w:right="-900"/>
        <w:jc w:val="both"/>
        <w:rPr>
          <w:rFonts w:ascii="Times New Roman" w:hAnsi="Times New Roman" w:cs="Times New Roman"/>
          <w:b/>
          <w:bCs/>
          <w:sz w:val="24"/>
          <w:szCs w:val="24"/>
          <w:lang w:bidi="ar-IQ"/>
        </w:rPr>
      </w:pPr>
      <w:r w:rsidRPr="004528DA">
        <w:rPr>
          <w:rFonts w:ascii="Times New Roman" w:hAnsi="Times New Roman" w:cs="Times New Roman"/>
          <w:b/>
          <w:bCs/>
          <w:sz w:val="24"/>
          <w:szCs w:val="24"/>
          <w:lang w:bidi="ar-IQ"/>
        </w:rPr>
        <w:t xml:space="preserve"> </w:t>
      </w:r>
      <w:r w:rsidRPr="004528DA">
        <w:rPr>
          <w:rFonts w:ascii="Times New Roman" w:hAnsi="Times New Roman" w:cs="Times New Roman"/>
          <w:b/>
          <w:bCs/>
          <w:sz w:val="24"/>
          <w:szCs w:val="24"/>
          <w:rtl/>
          <w:lang w:bidi="ar-IQ"/>
        </w:rPr>
        <w:t>ارتبط ظهور النقود المصرفية مع تطور العمل المصرفي، المشار إليه اعلاه. وسميت بنقود الودائع، لأنها ترتبط بالودائع، أي الودائع الجارية (الودائع تحت الطلب)، والتي هي عبارة عن الأموال، التي يودعها طرف معين لدى المصرف التجاري. وتكون هذه الأموال قابلة للسحب من قبل المودع، في أي وقت يشاء، عن طريق توجيه أمر من المودع (الدائن) الى المصرف التجاري (المدين)، عن طريق الصكوك، التي تُلزم المدين بدفع المبلغ المذكور في الصك لحامله، أو لأمره، أو لأي طرف آخر ثالث (المستفيد).</w:t>
      </w:r>
    </w:p>
    <w:p w:rsidR="00E57412" w:rsidRPr="004528DA" w:rsidRDefault="00E57412" w:rsidP="00E57412">
      <w:pPr>
        <w:pStyle w:val="a3"/>
        <w:spacing w:after="0" w:line="360" w:lineRule="auto"/>
        <w:ind w:left="-720" w:right="-900"/>
        <w:jc w:val="both"/>
        <w:rPr>
          <w:rFonts w:ascii="Times New Roman" w:hAnsi="Times New Roman" w:cs="Times New Roman"/>
          <w:b/>
          <w:bCs/>
          <w:sz w:val="24"/>
          <w:szCs w:val="24"/>
          <w:rtl/>
          <w:lang w:bidi="ar-IQ"/>
        </w:rPr>
      </w:pPr>
      <w:r w:rsidRPr="004528DA">
        <w:rPr>
          <w:rFonts w:ascii="Times New Roman" w:hAnsi="Times New Roman" w:cs="Times New Roman"/>
          <w:b/>
          <w:bCs/>
          <w:sz w:val="24"/>
          <w:szCs w:val="24"/>
          <w:rtl/>
          <w:lang w:bidi="ar-IQ"/>
        </w:rPr>
        <w:t xml:space="preserve">وهذه الأوامر بالدفع (الصكوك المصرفية) تُعد أداةً لتسوية المبادلات والمدفوعات وإبراء الذمم. وهكذا، تعد هذه الصكوك بمثابة نقوداً اعتيادية، لأنها تؤدي وظائفها، ولأنها ديون بذمة المصارف لصالح المودعين. ولذلك، سميت بالنقود المصرفية، أو نقود الودائع. كما أن المصارف التجارية هي </w:t>
      </w:r>
      <w:r w:rsidRPr="004528DA">
        <w:rPr>
          <w:rFonts w:ascii="Times New Roman" w:hAnsi="Times New Roman" w:cs="Times New Roman"/>
          <w:b/>
          <w:bCs/>
          <w:sz w:val="24"/>
          <w:szCs w:val="24"/>
          <w:rtl/>
          <w:lang w:bidi="ar-IQ"/>
        </w:rPr>
        <w:lastRenderedPageBreak/>
        <w:t>التي تخلقها. إلا أن قدرة المصارف على خلقها ليست مطلقة، وإنما تتحدد بتوجيهات السلطة النقدية، التي تتحكم بالائتمان المصرفي، وتوجهه كمّاً ونوعاً، الوجهة المطلوبة.</w:t>
      </w:r>
    </w:p>
    <w:p w:rsidR="005B435F" w:rsidRDefault="005B435F">
      <w:pPr>
        <w:rPr>
          <w:lang w:bidi="ar-IQ"/>
        </w:rPr>
      </w:pPr>
      <w:bookmarkStart w:id="0" w:name="_GoBack"/>
      <w:bookmarkEnd w:id="0"/>
    </w:p>
    <w:sectPr w:rsidR="005B4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D787D"/>
    <w:multiLevelType w:val="hybridMultilevel"/>
    <w:tmpl w:val="82F09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2A21FF"/>
    <w:multiLevelType w:val="hybridMultilevel"/>
    <w:tmpl w:val="40CA0186"/>
    <w:lvl w:ilvl="0" w:tplc="B5DC4A92">
      <w:start w:val="1"/>
      <w:numFmt w:val="arabicAlpha"/>
      <w:lvlText w:val="%1."/>
      <w:lvlJc w:val="left"/>
      <w:pPr>
        <w:ind w:left="728" w:hanging="360"/>
      </w:pPr>
    </w:lvl>
    <w:lvl w:ilvl="1" w:tplc="04090019">
      <w:start w:val="1"/>
      <w:numFmt w:val="lowerLetter"/>
      <w:lvlText w:val="%2."/>
      <w:lvlJc w:val="left"/>
      <w:pPr>
        <w:ind w:left="1448" w:hanging="360"/>
      </w:pPr>
    </w:lvl>
    <w:lvl w:ilvl="2" w:tplc="0409001B">
      <w:start w:val="1"/>
      <w:numFmt w:val="lowerRoman"/>
      <w:lvlText w:val="%3."/>
      <w:lvlJc w:val="right"/>
      <w:pPr>
        <w:ind w:left="2168" w:hanging="180"/>
      </w:pPr>
    </w:lvl>
    <w:lvl w:ilvl="3" w:tplc="0409000F">
      <w:start w:val="1"/>
      <w:numFmt w:val="decimal"/>
      <w:lvlText w:val="%4."/>
      <w:lvlJc w:val="left"/>
      <w:pPr>
        <w:ind w:left="2888" w:hanging="360"/>
      </w:pPr>
    </w:lvl>
    <w:lvl w:ilvl="4" w:tplc="04090019">
      <w:start w:val="1"/>
      <w:numFmt w:val="lowerLetter"/>
      <w:lvlText w:val="%5."/>
      <w:lvlJc w:val="left"/>
      <w:pPr>
        <w:ind w:left="3608" w:hanging="360"/>
      </w:pPr>
    </w:lvl>
    <w:lvl w:ilvl="5" w:tplc="0409001B">
      <w:start w:val="1"/>
      <w:numFmt w:val="lowerRoman"/>
      <w:lvlText w:val="%6."/>
      <w:lvlJc w:val="right"/>
      <w:pPr>
        <w:ind w:left="4328" w:hanging="180"/>
      </w:pPr>
    </w:lvl>
    <w:lvl w:ilvl="6" w:tplc="0409000F">
      <w:start w:val="1"/>
      <w:numFmt w:val="decimal"/>
      <w:lvlText w:val="%7."/>
      <w:lvlJc w:val="left"/>
      <w:pPr>
        <w:ind w:left="5048" w:hanging="360"/>
      </w:pPr>
    </w:lvl>
    <w:lvl w:ilvl="7" w:tplc="04090019">
      <w:start w:val="1"/>
      <w:numFmt w:val="lowerLetter"/>
      <w:lvlText w:val="%8."/>
      <w:lvlJc w:val="left"/>
      <w:pPr>
        <w:ind w:left="5768" w:hanging="360"/>
      </w:pPr>
    </w:lvl>
    <w:lvl w:ilvl="8" w:tplc="0409001B">
      <w:start w:val="1"/>
      <w:numFmt w:val="lowerRoman"/>
      <w:lvlText w:val="%9."/>
      <w:lvlJc w:val="right"/>
      <w:pPr>
        <w:ind w:left="6488" w:hanging="180"/>
      </w:pPr>
    </w:lvl>
  </w:abstractNum>
  <w:abstractNum w:abstractNumId="2" w15:restartNumberingAfterBreak="0">
    <w:nsid w:val="5A8A16BE"/>
    <w:multiLevelType w:val="hybridMultilevel"/>
    <w:tmpl w:val="8F565E2A"/>
    <w:lvl w:ilvl="0" w:tplc="2EC23660">
      <w:start w:val="1"/>
      <w:numFmt w:val="arabicAlpha"/>
      <w:lvlText w:val="%1."/>
      <w:lvlJc w:val="left"/>
      <w:pPr>
        <w:ind w:left="728" w:hanging="360"/>
      </w:pPr>
    </w:lvl>
    <w:lvl w:ilvl="1" w:tplc="04090019">
      <w:start w:val="1"/>
      <w:numFmt w:val="lowerLetter"/>
      <w:lvlText w:val="%2."/>
      <w:lvlJc w:val="left"/>
      <w:pPr>
        <w:ind w:left="1448" w:hanging="360"/>
      </w:pPr>
    </w:lvl>
    <w:lvl w:ilvl="2" w:tplc="0409001B">
      <w:start w:val="1"/>
      <w:numFmt w:val="lowerRoman"/>
      <w:lvlText w:val="%3."/>
      <w:lvlJc w:val="right"/>
      <w:pPr>
        <w:ind w:left="2168" w:hanging="180"/>
      </w:pPr>
    </w:lvl>
    <w:lvl w:ilvl="3" w:tplc="0409000F">
      <w:start w:val="1"/>
      <w:numFmt w:val="decimal"/>
      <w:lvlText w:val="%4."/>
      <w:lvlJc w:val="left"/>
      <w:pPr>
        <w:ind w:left="2888" w:hanging="360"/>
      </w:pPr>
    </w:lvl>
    <w:lvl w:ilvl="4" w:tplc="04090019">
      <w:start w:val="1"/>
      <w:numFmt w:val="lowerLetter"/>
      <w:lvlText w:val="%5."/>
      <w:lvlJc w:val="left"/>
      <w:pPr>
        <w:ind w:left="3608" w:hanging="360"/>
      </w:pPr>
    </w:lvl>
    <w:lvl w:ilvl="5" w:tplc="0409001B">
      <w:start w:val="1"/>
      <w:numFmt w:val="lowerRoman"/>
      <w:lvlText w:val="%6."/>
      <w:lvlJc w:val="right"/>
      <w:pPr>
        <w:ind w:left="4328" w:hanging="180"/>
      </w:pPr>
    </w:lvl>
    <w:lvl w:ilvl="6" w:tplc="0409000F">
      <w:start w:val="1"/>
      <w:numFmt w:val="decimal"/>
      <w:lvlText w:val="%7."/>
      <w:lvlJc w:val="left"/>
      <w:pPr>
        <w:ind w:left="5048" w:hanging="360"/>
      </w:pPr>
    </w:lvl>
    <w:lvl w:ilvl="7" w:tplc="04090019">
      <w:start w:val="1"/>
      <w:numFmt w:val="lowerLetter"/>
      <w:lvlText w:val="%8."/>
      <w:lvlJc w:val="left"/>
      <w:pPr>
        <w:ind w:left="5768" w:hanging="360"/>
      </w:pPr>
    </w:lvl>
    <w:lvl w:ilvl="8" w:tplc="0409001B">
      <w:start w:val="1"/>
      <w:numFmt w:val="lowerRoman"/>
      <w:lvlText w:val="%9."/>
      <w:lvlJc w:val="right"/>
      <w:pPr>
        <w:ind w:left="6488" w:hanging="180"/>
      </w:pPr>
    </w:lvl>
  </w:abstractNum>
  <w:abstractNum w:abstractNumId="3" w15:restartNumberingAfterBreak="0">
    <w:nsid w:val="69D560AD"/>
    <w:multiLevelType w:val="hybridMultilevel"/>
    <w:tmpl w:val="917A6892"/>
    <w:lvl w:ilvl="0" w:tplc="D8DE52C4">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7C"/>
    <w:rsid w:val="005B435F"/>
    <w:rsid w:val="00C8717C"/>
    <w:rsid w:val="00E57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DEB67-8578-45D2-BBC0-43A58A19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41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412"/>
    <w:pPr>
      <w:ind w:left="720"/>
      <w:contextualSpacing/>
    </w:pPr>
  </w:style>
  <w:style w:type="table" w:styleId="a4">
    <w:name w:val="Table Grid"/>
    <w:basedOn w:val="a1"/>
    <w:uiPriority w:val="59"/>
    <w:rsid w:val="00E574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6245</Characters>
  <Application>Microsoft Office Word</Application>
  <DocSecurity>0</DocSecurity>
  <Lines>52</Lines>
  <Paragraphs>14</Paragraphs>
  <ScaleCrop>false</ScaleCrop>
  <Company>Microsoft (C)</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SUBHI</dc:creator>
  <cp:keywords/>
  <dc:description/>
  <cp:lastModifiedBy>Dr SUBHI</cp:lastModifiedBy>
  <cp:revision>2</cp:revision>
  <dcterms:created xsi:type="dcterms:W3CDTF">2019-10-14T04:04:00Z</dcterms:created>
  <dcterms:modified xsi:type="dcterms:W3CDTF">2019-10-14T04:04:00Z</dcterms:modified>
</cp:coreProperties>
</file>