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EB" w:rsidRPr="008F26EB" w:rsidRDefault="008F26EB" w:rsidP="00C47C00">
      <w:pPr>
        <w:bidi w:val="0"/>
        <w:spacing w:after="0" w:line="240" w:lineRule="auto"/>
        <w:rPr>
          <w:rFonts w:ascii="Simplified Arabic" w:hAnsi="Simplified Arabic" w:cs="Simplified Arabic" w:hint="cs"/>
          <w:sz w:val="32"/>
          <w:szCs w:val="32"/>
          <w:rtl/>
          <w:lang w:bidi="ar-IQ"/>
        </w:rPr>
      </w:pPr>
    </w:p>
    <w:p w:rsidR="00777E58" w:rsidRPr="00C47C00" w:rsidRDefault="00777E58" w:rsidP="00C47C00">
      <w:pPr>
        <w:rPr>
          <w:rFonts w:ascii="Simplified Arabic" w:hAnsi="Simplified Arabic" w:cs="Simplified Arabic"/>
          <w:sz w:val="32"/>
          <w:szCs w:val="32"/>
        </w:rPr>
      </w:pPr>
      <w:r w:rsidRPr="008F26EB">
        <w:rPr>
          <w:rFonts w:ascii="Simplified Arabic" w:hAnsi="Simplified Arabic" w:cs="Simplified Arabic"/>
          <w:sz w:val="32"/>
          <w:szCs w:val="32"/>
          <w:rtl/>
        </w:rPr>
        <w:t>ميزان المراجعة</w:t>
      </w:r>
      <w:r w:rsidRPr="008F26EB">
        <w:rPr>
          <w:rFonts w:ascii="Simplified Arabic" w:hAnsi="Simplified Arabic" w:cs="Simplified Arabic"/>
          <w:color w:val="353C41"/>
          <w:sz w:val="32"/>
          <w:szCs w:val="32"/>
        </w:rPr>
        <w:br/>
      </w:r>
      <w:r w:rsidRPr="008F26EB">
        <w:rPr>
          <w:rStyle w:val="Strong"/>
          <w:rFonts w:ascii="Simplified Arabic" w:hAnsi="Simplified Arabic" w:cs="Simplified Arabic"/>
          <w:b w:val="0"/>
          <w:bCs w:val="0"/>
          <w:color w:val="353C41"/>
          <w:sz w:val="32"/>
          <w:szCs w:val="32"/>
          <w:rtl/>
        </w:rPr>
        <w:t>ميزان المراجعة من الكشوفات المهمة والاساسية الذي يحضرها المحاسب اما (شهريا او كل ثلاثة اشهر اوكل ستة اشهر</w:t>
      </w:r>
      <w:r w:rsidR="00C47C00">
        <w:rPr>
          <w:rStyle w:val="Strong"/>
          <w:rFonts w:ascii="Simplified Arabic" w:hAnsi="Simplified Arabic" w:cs="Simplified Arabic" w:hint="cs"/>
          <w:b w:val="0"/>
          <w:bCs w:val="0"/>
          <w:color w:val="353C41"/>
          <w:sz w:val="32"/>
          <w:szCs w:val="32"/>
          <w:rtl/>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ويفضل تحضير ميزان المراجعة شهري وذلك لاكتشاف الاخطاء ومعالجتها اول بأول</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فميزان المراجعة يعتبر اداة لقياس التوازن الحسابي وتاكد من صحة تسجيل الحسابات في الدفاتر المحاسبية واثبات العمليات الحسابية خلال فترة معينة</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ويمكن تقسيم ميزان المراجعة لثلاث اشكال</w:t>
      </w:r>
    </w:p>
    <w:p w:rsidR="00777E58" w:rsidRPr="00C47C00" w:rsidRDefault="00777E58" w:rsidP="000128F8">
      <w:pPr>
        <w:pStyle w:val="NormalWeb"/>
        <w:jc w:val="right"/>
        <w:textAlignment w:val="top"/>
        <w:rPr>
          <w:rFonts w:ascii="Simplified Arabic" w:hAnsi="Simplified Arabic" w:cs="Simplified Arabic"/>
          <w:color w:val="353C41"/>
          <w:sz w:val="32"/>
          <w:szCs w:val="32"/>
        </w:rPr>
      </w:pPr>
      <w:r w:rsidRPr="00C47C00">
        <w:rPr>
          <w:rStyle w:val="Strong"/>
          <w:rFonts w:ascii="Simplified Arabic" w:hAnsi="Simplified Arabic" w:cs="Simplified Arabic"/>
          <w:color w:val="353C41"/>
          <w:sz w:val="32"/>
          <w:szCs w:val="32"/>
          <w:rtl/>
        </w:rPr>
        <w:t>اولا:ميزان مراجعة بالمجاميع</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وهو كشف يضم الجانب المدين والجانب الدائن بعد تجمع الحسابات في الاستاذ يتم ترحيل المجاميع الى ميزان المراجعة مجموع الحسابات في الطرف المدين في الاستاذ ترحل جانب المدين في ميزان المراجعة وبنفس الطريقة الطرف الدائن</w:t>
      </w:r>
    </w:p>
    <w:p w:rsidR="00777E58" w:rsidRPr="00C47C00" w:rsidRDefault="00777E58" w:rsidP="000128F8">
      <w:pPr>
        <w:pStyle w:val="NormalWeb"/>
        <w:jc w:val="right"/>
        <w:textAlignment w:val="top"/>
        <w:rPr>
          <w:rFonts w:ascii="Simplified Arabic" w:hAnsi="Simplified Arabic" w:cs="Simplified Arabic"/>
          <w:color w:val="353C41"/>
          <w:sz w:val="32"/>
          <w:szCs w:val="32"/>
        </w:rPr>
      </w:pPr>
      <w:r w:rsidRPr="00C47C00">
        <w:rPr>
          <w:rStyle w:val="Strong"/>
          <w:rFonts w:ascii="Simplified Arabic" w:hAnsi="Simplified Arabic" w:cs="Simplified Arabic"/>
          <w:color w:val="353C41"/>
          <w:sz w:val="32"/>
          <w:szCs w:val="32"/>
          <w:rtl/>
        </w:rPr>
        <w:t>ثانيا</w:t>
      </w:r>
      <w:r w:rsidR="00C47C00">
        <w:rPr>
          <w:rStyle w:val="Strong"/>
          <w:rFonts w:ascii="Simplified Arabic" w:hAnsi="Simplified Arabic" w:cs="Simplified Arabic" w:hint="cs"/>
          <w:color w:val="353C41"/>
          <w:sz w:val="32"/>
          <w:szCs w:val="32"/>
          <w:rtl/>
        </w:rPr>
        <w:t>:</w:t>
      </w:r>
      <w:r w:rsidRPr="00C47C00">
        <w:rPr>
          <w:rStyle w:val="Strong"/>
          <w:rFonts w:ascii="Simplified Arabic" w:hAnsi="Simplified Arabic" w:cs="Simplified Arabic"/>
          <w:color w:val="353C41"/>
          <w:sz w:val="32"/>
          <w:szCs w:val="32"/>
          <w:rtl/>
        </w:rPr>
        <w:t xml:space="preserve"> ميزان مراجعة بالارصدة</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وهو كشف يضم الجانب المدين والدائن للحسابات في الاستاذ بعد ترصيدها وحسب طبيعتها</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فلهذا قبل اعداد ميزان المراجعة يجب ان نقسم الارصدة في حساباتنا حسب طبيعتها (مدينة او دائنة</w:t>
      </w:r>
      <w:r w:rsidR="00C47C00">
        <w:rPr>
          <w:rStyle w:val="Strong"/>
          <w:rFonts w:ascii="Simplified Arabic" w:hAnsi="Simplified Arabic" w:cs="Simplified Arabic" w:hint="cs"/>
          <w:b w:val="0"/>
          <w:bCs w:val="0"/>
          <w:color w:val="353C41"/>
          <w:sz w:val="32"/>
          <w:szCs w:val="32"/>
          <w:rtl/>
        </w:rPr>
        <w:t xml:space="preserve"> ))</w:t>
      </w:r>
      <w:r w:rsidRPr="008F26EB">
        <w:rPr>
          <w:rStyle w:val="Strong"/>
          <w:rFonts w:ascii="Simplified Arabic" w:hAnsi="Simplified Arabic" w:cs="Simplified Arabic"/>
          <w:b w:val="0"/>
          <w:bCs w:val="0"/>
          <w:color w:val="353C41"/>
          <w:sz w:val="32"/>
          <w:szCs w:val="32"/>
        </w:rPr>
        <w:t>)</w:t>
      </w:r>
    </w:p>
    <w:p w:rsidR="00777E58" w:rsidRPr="00C47C00" w:rsidRDefault="00C47C00" w:rsidP="00C47C00">
      <w:pPr>
        <w:pStyle w:val="NormalWeb"/>
        <w:tabs>
          <w:tab w:val="left" w:pos="5745"/>
          <w:tab w:val="right" w:pos="8306"/>
        </w:tabs>
        <w:textAlignment w:val="top"/>
        <w:rPr>
          <w:rFonts w:ascii="Simplified Arabic" w:hAnsi="Simplified Arabic" w:cs="Simplified Arabic"/>
          <w:color w:val="353C41"/>
          <w:sz w:val="32"/>
          <w:szCs w:val="32"/>
        </w:rPr>
      </w:pPr>
      <w:r w:rsidRPr="00C47C00">
        <w:rPr>
          <w:rStyle w:val="Strong"/>
          <w:rFonts w:ascii="Simplified Arabic" w:hAnsi="Simplified Arabic" w:cs="Simplified Arabic"/>
          <w:color w:val="353C41"/>
          <w:sz w:val="32"/>
          <w:szCs w:val="32"/>
          <w:rtl/>
        </w:rPr>
        <w:tab/>
      </w:r>
      <w:r w:rsidRPr="00C47C00">
        <w:rPr>
          <w:rStyle w:val="Strong"/>
          <w:rFonts w:ascii="Simplified Arabic" w:hAnsi="Simplified Arabic" w:cs="Simplified Arabic"/>
          <w:color w:val="353C41"/>
          <w:sz w:val="32"/>
          <w:szCs w:val="32"/>
          <w:rtl/>
        </w:rPr>
        <w:tab/>
      </w:r>
      <w:r>
        <w:rPr>
          <w:rStyle w:val="Strong"/>
          <w:rFonts w:ascii="Simplified Arabic" w:hAnsi="Simplified Arabic" w:cs="Simplified Arabic" w:hint="cs"/>
          <w:color w:val="353C41"/>
          <w:sz w:val="32"/>
          <w:szCs w:val="32"/>
          <w:rtl/>
        </w:rPr>
        <w:t xml:space="preserve">- </w:t>
      </w:r>
      <w:r w:rsidR="00777E58" w:rsidRPr="00C47C00">
        <w:rPr>
          <w:rStyle w:val="Strong"/>
          <w:rFonts w:ascii="Simplified Arabic" w:hAnsi="Simplified Arabic" w:cs="Simplified Arabic"/>
          <w:color w:val="353C41"/>
          <w:sz w:val="32"/>
          <w:szCs w:val="32"/>
          <w:rtl/>
        </w:rPr>
        <w:t>الارصدة المدينة بطبيعتها</w:t>
      </w:r>
      <w:r w:rsidR="00777E58" w:rsidRPr="00C47C00">
        <w:t xml:space="preserve"> </w:t>
      </w:r>
    </w:p>
    <w:p w:rsidR="00777E58" w:rsidRPr="008F26EB" w:rsidRDefault="00777E58" w:rsidP="00C47C00">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lastRenderedPageBreak/>
        <w:t>ارصدة حسابات الموجودات الثابتة او المتداولة مثل (الاراضي, المباني, السيارات,الصندوق,الاثاث,العدد والادوات,شهرة المحل,العلامات التجارية,المصارف التجارية,المدينون,اوراق القبض,الاوراق المالية</w:t>
      </w:r>
      <w:r w:rsidR="00C47C00">
        <w:rPr>
          <w:rStyle w:val="Strong"/>
          <w:rFonts w:ascii="Simplified Arabic" w:hAnsi="Simplified Arabic" w:cs="Simplified Arabic" w:hint="cs"/>
          <w:b w:val="0"/>
          <w:bCs w:val="0"/>
          <w:color w:val="353C41"/>
          <w:sz w:val="32"/>
          <w:szCs w:val="32"/>
          <w:rtl/>
          <w:lang w:bidi="ar-IQ"/>
        </w:rPr>
        <w:t xml:space="preserve"> )</w:t>
      </w:r>
      <w:r w:rsidRPr="008F26EB">
        <w:rPr>
          <w:rStyle w:val="Strong"/>
          <w:rFonts w:ascii="Simplified Arabic" w:hAnsi="Simplified Arabic" w:cs="Simplified Arabic"/>
          <w:b w:val="0"/>
          <w:bCs w:val="0"/>
          <w:color w:val="353C41"/>
          <w:sz w:val="32"/>
          <w:szCs w:val="32"/>
        </w:rPr>
        <w:t>)</w:t>
      </w:r>
    </w:p>
    <w:p w:rsidR="00777E58" w:rsidRPr="008F26EB" w:rsidRDefault="00777E58" w:rsidP="00C47C00">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حسابات المتعلقة بالبضاعة (المشتريات ,ومصاريف الشراء والبيع ومردودات مبيعات ومسموحات المبيعات</w:t>
      </w:r>
      <w:r w:rsidR="00C47C00">
        <w:rPr>
          <w:rStyle w:val="Strong"/>
          <w:rFonts w:ascii="Simplified Arabic" w:hAnsi="Simplified Arabic" w:cs="Simplified Arabic" w:hint="cs"/>
          <w:b w:val="0"/>
          <w:bCs w:val="0"/>
          <w:color w:val="353C41"/>
          <w:sz w:val="32"/>
          <w:szCs w:val="32"/>
          <w:rtl/>
          <w:lang w:bidi="ar-IQ"/>
        </w:rPr>
        <w:t xml:space="preserve"> )</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المصاريف الادارية العمومية(الرواتب والاجور,ماء,كهرباء,هاتف)إصلاحات ,أتعاب قانونية)اضافة الى الفوائد المدينة والخصومات المدينة (الخصم الممنوح</w:t>
      </w:r>
      <w:r w:rsidRPr="008F26EB">
        <w:rPr>
          <w:rStyle w:val="Strong"/>
          <w:rFonts w:ascii="Simplified Arabic" w:hAnsi="Simplified Arabic" w:cs="Simplified Arabic"/>
          <w:b w:val="0"/>
          <w:bCs w:val="0"/>
          <w:color w:val="353C41"/>
          <w:sz w:val="32"/>
          <w:szCs w:val="32"/>
        </w:rPr>
        <w:t>)</w:t>
      </w:r>
    </w:p>
    <w:p w:rsidR="00777E58" w:rsidRPr="00C47C00" w:rsidRDefault="00C47C00" w:rsidP="00C47C00">
      <w:pPr>
        <w:pStyle w:val="NormalWeb"/>
        <w:jc w:val="right"/>
        <w:textAlignment w:val="top"/>
        <w:rPr>
          <w:rFonts w:ascii="Simplified Arabic" w:hAnsi="Simplified Arabic" w:cs="Simplified Arabic" w:hint="cs"/>
          <w:color w:val="353C41"/>
          <w:sz w:val="32"/>
          <w:szCs w:val="32"/>
          <w:rtl/>
          <w:lang w:bidi="ar-IQ"/>
        </w:rPr>
      </w:pPr>
      <w:r>
        <w:rPr>
          <w:rStyle w:val="Strong"/>
          <w:rFonts w:ascii="Simplified Arabic" w:hAnsi="Simplified Arabic" w:cs="Simplified Arabic" w:hint="cs"/>
          <w:color w:val="353C41"/>
          <w:sz w:val="32"/>
          <w:szCs w:val="32"/>
          <w:rtl/>
        </w:rPr>
        <w:t xml:space="preserve">- </w:t>
      </w:r>
      <w:r w:rsidR="00777E58" w:rsidRPr="00C47C00">
        <w:rPr>
          <w:rStyle w:val="Strong"/>
          <w:rFonts w:ascii="Simplified Arabic" w:hAnsi="Simplified Arabic" w:cs="Simplified Arabic"/>
          <w:color w:val="353C41"/>
          <w:sz w:val="32"/>
          <w:szCs w:val="32"/>
          <w:rtl/>
        </w:rPr>
        <w:t>الارصدة الدائنة بطبيعتها</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حسابات حقوق الملكية (راس المال والارباح الغير موزعة</w:t>
      </w:r>
      <w:r w:rsidR="00C47C00">
        <w:rPr>
          <w:rStyle w:val="Strong"/>
          <w:rFonts w:ascii="Simplified Arabic" w:hAnsi="Simplified Arabic" w:cs="Simplified Arabic" w:hint="cs"/>
          <w:b w:val="0"/>
          <w:bCs w:val="0"/>
          <w:color w:val="353C41"/>
          <w:sz w:val="32"/>
          <w:szCs w:val="32"/>
          <w:rtl/>
        </w:rPr>
        <w:t>)</w:t>
      </w:r>
      <w:r w:rsidRPr="008F26EB">
        <w:rPr>
          <w:rStyle w:val="Strong"/>
          <w:rFonts w:ascii="Simplified Arabic" w:hAnsi="Simplified Arabic" w:cs="Simplified Arabic"/>
          <w:b w:val="0"/>
          <w:bCs w:val="0"/>
          <w:color w:val="353C41"/>
          <w:sz w:val="32"/>
          <w:szCs w:val="32"/>
        </w:rPr>
        <w:t xml:space="preserve"> )</w:t>
      </w:r>
    </w:p>
    <w:p w:rsidR="00777E58" w:rsidRPr="008F26EB" w:rsidRDefault="00777E58" w:rsidP="00C47C00">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 xml:space="preserve">ارصدة الحسابات التي تمثل التزام على المنشأة (القروض الدائنة, الدائنون ,اوراق </w:t>
      </w:r>
      <w:r w:rsidR="00C47C00">
        <w:rPr>
          <w:rStyle w:val="Strong"/>
          <w:rFonts w:ascii="Simplified Arabic" w:hAnsi="Simplified Arabic" w:cs="Simplified Arabic" w:hint="cs"/>
          <w:b w:val="0"/>
          <w:bCs w:val="0"/>
          <w:color w:val="353C41"/>
          <w:sz w:val="32"/>
          <w:szCs w:val="32"/>
          <w:rtl/>
        </w:rPr>
        <w:t>الدفع .</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رصيد حساب المصرف الجاري اذا كان السحب على المكشوف</w:t>
      </w:r>
    </w:p>
    <w:p w:rsidR="00777E58" w:rsidRPr="008F26EB" w:rsidRDefault="00777E58" w:rsidP="00C47C00">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الحسابات التي تمثل ربحا او ايرادا مثل(ايراد العقارات,ارباح اوراق مالية,الفوائد الدائنة</w:t>
      </w:r>
      <w:r w:rsidR="00C47C00">
        <w:rPr>
          <w:rStyle w:val="Strong"/>
          <w:rFonts w:ascii="Simplified Arabic" w:hAnsi="Simplified Arabic" w:cs="Simplified Arabic" w:hint="cs"/>
          <w:b w:val="0"/>
          <w:bCs w:val="0"/>
          <w:color w:val="353C41"/>
          <w:sz w:val="32"/>
          <w:szCs w:val="32"/>
          <w:rtl/>
          <w:lang w:bidi="ar-IQ"/>
        </w:rPr>
        <w:t xml:space="preserve"> )</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الخصومات الدائنة(الخصم المكتسب</w:t>
      </w:r>
      <w:r w:rsidR="00C47C00">
        <w:rPr>
          <w:rStyle w:val="Strong"/>
          <w:rFonts w:ascii="Simplified Arabic" w:hAnsi="Simplified Arabic" w:cs="Simplified Arabic" w:hint="cs"/>
          <w:b w:val="0"/>
          <w:bCs w:val="0"/>
          <w:color w:val="353C41"/>
          <w:sz w:val="32"/>
          <w:szCs w:val="32"/>
          <w:rtl/>
        </w:rPr>
        <w:t>)</w:t>
      </w:r>
      <w:r w:rsidRPr="008F26EB">
        <w:rPr>
          <w:rStyle w:val="Strong"/>
          <w:rFonts w:ascii="Simplified Arabic" w:hAnsi="Simplified Arabic" w:cs="Simplified Arabic"/>
          <w:b w:val="0"/>
          <w:bCs w:val="0"/>
          <w:color w:val="353C41"/>
          <w:sz w:val="32"/>
          <w:szCs w:val="32"/>
        </w:rPr>
        <w:t>)</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ارصدة حسابات متعلقة بالبضاعة (المبيعات,مردودات ومسموحات المشتريات</w:t>
      </w:r>
    </w:p>
    <w:p w:rsidR="00777E58" w:rsidRPr="00C47C00" w:rsidRDefault="00777E58" w:rsidP="000128F8">
      <w:pPr>
        <w:pStyle w:val="NormalWeb"/>
        <w:jc w:val="right"/>
        <w:textAlignment w:val="top"/>
        <w:rPr>
          <w:rFonts w:ascii="Simplified Arabic" w:hAnsi="Simplified Arabic" w:cs="Simplified Arabic"/>
          <w:color w:val="353C41"/>
          <w:sz w:val="32"/>
          <w:szCs w:val="32"/>
        </w:rPr>
      </w:pPr>
      <w:r w:rsidRPr="00C47C00">
        <w:rPr>
          <w:rStyle w:val="Strong"/>
          <w:rFonts w:ascii="Simplified Arabic" w:hAnsi="Simplified Arabic" w:cs="Simplified Arabic"/>
          <w:color w:val="353C41"/>
          <w:sz w:val="32"/>
          <w:szCs w:val="32"/>
          <w:rtl/>
        </w:rPr>
        <w:t>ثالثا</w:t>
      </w:r>
      <w:r w:rsidR="00C47C00" w:rsidRPr="00C47C00">
        <w:rPr>
          <w:rStyle w:val="Strong"/>
          <w:rFonts w:ascii="Simplified Arabic" w:hAnsi="Simplified Arabic" w:cs="Simplified Arabic" w:hint="cs"/>
          <w:color w:val="353C41"/>
          <w:sz w:val="32"/>
          <w:szCs w:val="32"/>
          <w:rtl/>
        </w:rPr>
        <w:t>:</w:t>
      </w:r>
      <w:r w:rsidRPr="00C47C00">
        <w:rPr>
          <w:rStyle w:val="Strong"/>
          <w:rFonts w:ascii="Simplified Arabic" w:hAnsi="Simplified Arabic" w:cs="Simplified Arabic"/>
          <w:color w:val="353C41"/>
          <w:sz w:val="32"/>
          <w:szCs w:val="32"/>
          <w:rtl/>
        </w:rPr>
        <w:t xml:space="preserve"> ميزان مراجعة بالكامل</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t>في هذا الميزان يتم جمع المجاميع والارصدة لجميع الحسابات وبهذا نعطي فكرة كاملة عن حجم العمليات المالية التي تمت على كل حساب من حسابات الاستاذ</w:t>
      </w:r>
    </w:p>
    <w:p w:rsidR="00777E58" w:rsidRPr="008F26EB" w:rsidRDefault="00777E58" w:rsidP="000128F8">
      <w:pPr>
        <w:pStyle w:val="NormalWeb"/>
        <w:jc w:val="right"/>
        <w:textAlignment w:val="top"/>
        <w:rPr>
          <w:rFonts w:ascii="Simplified Arabic" w:hAnsi="Simplified Arabic" w:cs="Simplified Arabic"/>
          <w:color w:val="353C41"/>
          <w:sz w:val="32"/>
          <w:szCs w:val="32"/>
        </w:rPr>
      </w:pPr>
      <w:r w:rsidRPr="008F26EB">
        <w:rPr>
          <w:rStyle w:val="Strong"/>
          <w:rFonts w:ascii="Simplified Arabic" w:hAnsi="Simplified Arabic" w:cs="Simplified Arabic"/>
          <w:b w:val="0"/>
          <w:bCs w:val="0"/>
          <w:color w:val="353C41"/>
          <w:sz w:val="32"/>
          <w:szCs w:val="32"/>
          <w:rtl/>
        </w:rPr>
        <w:lastRenderedPageBreak/>
        <w:t>وميزان المراجعة هو احد وسائل للتاكد من صحة تسجيل القيود المحاسبية بدفتر اليومية وصحة ترحيلها وترصيدها في الاستاذ</w:t>
      </w:r>
    </w:p>
    <w:p w:rsidR="00777E58" w:rsidRPr="00C47C00" w:rsidRDefault="00777E58" w:rsidP="00C47C00">
      <w:pPr>
        <w:pStyle w:val="NormalWeb"/>
        <w:spacing w:after="0" w:afterAutospacing="0"/>
        <w:jc w:val="right"/>
        <w:textAlignment w:val="top"/>
        <w:rPr>
          <w:rFonts w:ascii="Simplified Arabic" w:hAnsi="Simplified Arabic" w:cs="Simplified Arabic"/>
          <w:color w:val="353C41"/>
          <w:sz w:val="32"/>
          <w:szCs w:val="32"/>
          <w:rtl/>
        </w:rPr>
      </w:pPr>
      <w:r w:rsidRPr="008F26EB">
        <w:rPr>
          <w:rStyle w:val="Strong"/>
          <w:rFonts w:ascii="Simplified Arabic" w:hAnsi="Simplified Arabic" w:cs="Simplified Arabic"/>
          <w:b w:val="0"/>
          <w:bCs w:val="0"/>
          <w:color w:val="353C41"/>
          <w:sz w:val="32"/>
          <w:szCs w:val="32"/>
          <w:rtl/>
        </w:rPr>
        <w:t>وعلى ان يكون جانبي ميزان المرجع متساوي الطرفين المدين والدائن</w:t>
      </w:r>
    </w:p>
    <w:p w:rsidR="00777E58" w:rsidRPr="008F26EB" w:rsidRDefault="00777E58" w:rsidP="000128F8">
      <w:pPr>
        <w:rPr>
          <w:rFonts w:ascii="Simplified Arabic" w:hAnsi="Simplified Arabic" w:cs="Simplified Arabic"/>
          <w:sz w:val="32"/>
          <w:szCs w:val="32"/>
          <w:rtl/>
        </w:rPr>
      </w:pPr>
      <w:r w:rsidRPr="00C47C00">
        <w:rPr>
          <w:rFonts w:ascii="Simplified Arabic" w:hAnsi="Simplified Arabic" w:cs="Simplified Arabic"/>
          <w:b/>
          <w:bCs/>
          <w:color w:val="333333"/>
          <w:sz w:val="32"/>
          <w:szCs w:val="32"/>
          <w:shd w:val="clear" w:color="auto" w:fill="FFFFFF"/>
          <w:rtl/>
        </w:rPr>
        <w:t>فوائد ميزان المراجعة</w:t>
      </w:r>
      <w:r w:rsidR="00C47C00">
        <w:rPr>
          <w:rFonts w:ascii="Simplified Arabic" w:hAnsi="Simplified Arabic" w:cs="Simplified Arabic" w:hint="cs"/>
          <w:color w:val="333333"/>
          <w:sz w:val="32"/>
          <w:szCs w:val="32"/>
          <w:shd w:val="clear" w:color="auto" w:fill="FFFFFF"/>
          <w:rtl/>
        </w:rPr>
        <w:t>:-</w:t>
      </w:r>
      <w:r w:rsidRPr="008F26EB">
        <w:rPr>
          <w:rFonts w:ascii="Simplified Arabic" w:hAnsi="Simplified Arabic" w:cs="Simplified Arabic"/>
          <w:color w:val="333333"/>
          <w:sz w:val="32"/>
          <w:szCs w:val="32"/>
          <w:shd w:val="clear" w:color="auto" w:fill="FFFFFF"/>
          <w:rtl/>
        </w:rPr>
        <w:t xml:space="preserve"> يساعد على عمل القوائم الماليّة: كقائمة الدّخل، وقائمة المركز المالي، وقائمة حقوق الملكيّة. يعطينا ملخّص عن أرصدة جميع الحسابات في لحظة معيّنة؛ كحسابات العملاء والصّندوق والعديد من الحسابات الأخرى. يساعدنا على التأكّد من صحّة ترحيل العمليّات واكتشاف الأخطاء في عمليّات التّسجيل، وذلك من خلال توازنه وتساويه</w:t>
      </w:r>
      <w:r w:rsidRPr="008F26EB">
        <w:rPr>
          <w:rFonts w:ascii="Simplified Arabic" w:hAnsi="Simplified Arabic" w:cs="Simplified Arabic"/>
          <w:color w:val="333333"/>
          <w:sz w:val="32"/>
          <w:szCs w:val="32"/>
          <w:shd w:val="clear" w:color="auto" w:fill="FFFFFF"/>
        </w:rPr>
        <w:t>.</w:t>
      </w:r>
    </w:p>
    <w:p w:rsidR="00777E58" w:rsidRPr="008F26EB" w:rsidRDefault="00777E58" w:rsidP="000128F8">
      <w:pPr>
        <w:rPr>
          <w:rFonts w:ascii="Simplified Arabic" w:hAnsi="Simplified Arabic" w:cs="Simplified Arabic"/>
          <w:sz w:val="32"/>
          <w:szCs w:val="32"/>
          <w:rtl/>
        </w:rPr>
      </w:pPr>
      <w:r w:rsidRPr="008F26EB">
        <w:rPr>
          <w:rFonts w:ascii="Simplified Arabic" w:hAnsi="Simplified Arabic" w:cs="Simplified Arabic"/>
          <w:noProof/>
          <w:sz w:val="32"/>
          <w:szCs w:val="32"/>
        </w:rPr>
        <w:drawing>
          <wp:inline distT="0" distB="0" distL="0" distR="0" wp14:anchorId="6BB06C42" wp14:editId="6A361B9B">
            <wp:extent cx="5760718" cy="2962275"/>
            <wp:effectExtent l="0" t="0" r="0" b="0"/>
            <wp:docPr id="1" name="Picture 1" descr="ÙØ§ ÙÙ ÙÙØ²Ø§Ù Ø§ÙÙØ±Ø§Ø¬Ø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ÙØ§ ÙÙ ÙÙØ²Ø§Ù Ø§ÙÙØ±Ø§Ø¬Ø¹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7946" cy="2960850"/>
                    </a:xfrm>
                    <a:prstGeom prst="rect">
                      <a:avLst/>
                    </a:prstGeom>
                    <a:noFill/>
                    <a:ln>
                      <a:noFill/>
                    </a:ln>
                  </pic:spPr>
                </pic:pic>
              </a:graphicData>
            </a:graphic>
          </wp:inline>
        </w:drawing>
      </w:r>
    </w:p>
    <w:p w:rsidR="00777E58" w:rsidRPr="008F26EB" w:rsidRDefault="00777E58" w:rsidP="00C47C00">
      <w:pPr>
        <w:rPr>
          <w:rFonts w:ascii="Simplified Arabic" w:hAnsi="Simplified Arabic" w:cs="Simplified Arabic"/>
          <w:sz w:val="32"/>
          <w:szCs w:val="32"/>
          <w:rtl/>
        </w:rPr>
      </w:pPr>
      <w:r w:rsidRPr="00C47C00">
        <w:rPr>
          <w:rFonts w:ascii="Simplified Arabic" w:hAnsi="Simplified Arabic" w:cs="Simplified Arabic"/>
          <w:b/>
          <w:bCs/>
          <w:color w:val="333333"/>
          <w:sz w:val="32"/>
          <w:szCs w:val="32"/>
          <w:shd w:val="clear" w:color="auto" w:fill="FFFFFF"/>
          <w:rtl/>
        </w:rPr>
        <w:t>أخطاء ميزان المراجعة</w:t>
      </w:r>
      <w:r w:rsidR="00C47C00">
        <w:rPr>
          <w:rFonts w:ascii="Simplified Arabic" w:hAnsi="Simplified Arabic" w:cs="Simplified Arabic" w:hint="cs"/>
          <w:b/>
          <w:bCs/>
          <w:color w:val="333333"/>
          <w:sz w:val="32"/>
          <w:szCs w:val="32"/>
          <w:shd w:val="clear" w:color="auto" w:fill="FFFFFF"/>
          <w:rtl/>
        </w:rPr>
        <w:t>:-</w:t>
      </w:r>
      <w:r w:rsidRPr="008F26EB">
        <w:rPr>
          <w:rFonts w:ascii="Simplified Arabic" w:hAnsi="Simplified Arabic" w:cs="Simplified Arabic"/>
          <w:color w:val="333333"/>
          <w:sz w:val="32"/>
          <w:szCs w:val="32"/>
          <w:shd w:val="clear" w:color="auto" w:fill="FFFFFF"/>
          <w:rtl/>
        </w:rPr>
        <w:t xml:space="preserve"> كما يمكن وصف ميزان المراجعة بأنه استعراض كافة الحسابات وما يقابلها من أرصدة كما ورد ذكرها في دفتر الأستاذ، وتشترط هذه القائمة المحاسبية وجوب تساوي مجاميع الأرصدة المدينة مع الدائنة؛ للتأكد من عدم وجود أي أخطاء في الخطوات المحاسبية أثناء ترحيل القيود من دفتر الأستاذ وترصيدها، وبالرغم مما تقدّم، فليس من الشرط ضمان عدم وجود أي أخطاء في ميزان المراجعة، وتنقسم الأخطاء إلى عدة فئات يعجز ميزان المراجعة عن الكشف </w:t>
      </w:r>
      <w:r w:rsidRPr="008F26EB">
        <w:rPr>
          <w:rFonts w:ascii="Simplified Arabic" w:hAnsi="Simplified Arabic" w:cs="Simplified Arabic"/>
          <w:color w:val="333333"/>
          <w:sz w:val="32"/>
          <w:szCs w:val="32"/>
          <w:shd w:val="clear" w:color="auto" w:fill="FFFFFF"/>
          <w:rtl/>
        </w:rPr>
        <w:lastRenderedPageBreak/>
        <w:t>عنها، ومن أهمها: خطأ الإغفال، وخطأ اللجنة، وخطأ من حيث المبدأ، وخطأ في المدخل الأصلي، وخطأ الانعكاس، وأخطاء تعويضية، وخطأ تبديل الموضع. يهتم تقرير ميزان المراجعة بإظهار كافة أرصدة أول المدة؛ أي الفترة المالية المنقضية، كما يكشف عن كل الحركات المدينة والدائنة خلال تلك الفترة، وفي الختام يُظهر الرصيد الختامي بواسطة عملية حسابية تجمع بين رصيد أول المدة وصافي رصيد حركات الفترة. عناصر ميزان المراجعة المدين المدين</w:t>
      </w:r>
      <w:r w:rsidRPr="008F26EB">
        <w:rPr>
          <w:rFonts w:ascii="Simplified Arabic" w:hAnsi="Simplified Arabic" w:cs="Simplified Arabic"/>
          <w:color w:val="333333"/>
          <w:sz w:val="32"/>
          <w:szCs w:val="32"/>
          <w:shd w:val="clear" w:color="auto" w:fill="FFFFFF"/>
        </w:rPr>
        <w:t xml:space="preserve"> (receivable) </w:t>
      </w:r>
      <w:r w:rsidRPr="008F26EB">
        <w:rPr>
          <w:rFonts w:ascii="Simplified Arabic" w:hAnsi="Simplified Arabic" w:cs="Simplified Arabic"/>
          <w:color w:val="333333"/>
          <w:sz w:val="32"/>
          <w:szCs w:val="32"/>
          <w:shd w:val="clear" w:color="auto" w:fill="FFFFFF"/>
          <w:rtl/>
        </w:rPr>
        <w:t>هو ذلك الحساب التي يتطلب من المشتري سداد قيمته إلى البائع بدل خدمات أو بضائع قدمها الأخير للأول، وتجري هذه العمليات غالباً تجارياً من خلال إصدار فاتورة حساب، وتقديمها للمشتري بمختلف الوسائل الإلكترونية كوسيلة للمطالبة بسداد مبلغ مستحق عليه. الدائن ويشير الدائن</w:t>
      </w:r>
      <w:r w:rsidRPr="008F26EB">
        <w:rPr>
          <w:rFonts w:ascii="Simplified Arabic" w:hAnsi="Simplified Arabic" w:cs="Simplified Arabic"/>
          <w:color w:val="333333"/>
          <w:sz w:val="32"/>
          <w:szCs w:val="32"/>
          <w:shd w:val="clear" w:color="auto" w:fill="FFFFFF"/>
        </w:rPr>
        <w:t xml:space="preserve"> (creditor) </w:t>
      </w:r>
      <w:r w:rsidRPr="008F26EB">
        <w:rPr>
          <w:rFonts w:ascii="Simplified Arabic" w:hAnsi="Simplified Arabic" w:cs="Simplified Arabic"/>
          <w:color w:val="333333"/>
          <w:sz w:val="32"/>
          <w:szCs w:val="32"/>
          <w:shd w:val="clear" w:color="auto" w:fill="FFFFFF"/>
          <w:rtl/>
        </w:rPr>
        <w:t>إلى الشخص أو الحساب المطلوب دفع مبلغ مالي معين له من المدين مقابل خدمة أو سلعة قدمها، وغالباً ما يكون الدائن عبارة عن شخص أو مؤسسة أو حكومة، ويشير المصطلح بشكل عام إلى أنّ الدائن صاحب رأس المال، وتتفاوت الطرق أو الأوساط المالية التي يقدمها صاحب الدين للإشارة إلى صفة الدين الذي استلفه المدين، فقد يكون سنداً أو رهناً بغض النظرقصر أو طول أجله. الحسابات يتضمن عنصر الحساب في ميزان المراجعة ذكر كافة مقتنيات الشركة من أصول ثابتة، وموردين، وصندوق، ومخزون، بالإضافة إلى إظهار أوراق الدفع، والإيرادات، والمصروفات، بشقيها التشغيلية والعمومية، ووضع القيمة المالية لكل منها في الخانة المناسبة لها سواء كانت مدينة أو دائنة</w:t>
      </w:r>
      <w:r w:rsidRPr="008F26EB">
        <w:rPr>
          <w:rFonts w:ascii="Simplified Arabic" w:hAnsi="Simplified Arabic" w:cs="Simplified Arabic"/>
          <w:color w:val="333333"/>
          <w:sz w:val="32"/>
          <w:szCs w:val="32"/>
          <w:shd w:val="clear" w:color="auto" w:fill="FFFFFF"/>
        </w:rPr>
        <w:t>.</w:t>
      </w:r>
      <w:r w:rsidRPr="008F26EB">
        <w:rPr>
          <w:rFonts w:ascii="Simplified Arabic" w:hAnsi="Simplified Arabic" w:cs="Simplified Arabic"/>
          <w:color w:val="333333"/>
          <w:sz w:val="32"/>
          <w:szCs w:val="32"/>
        </w:rPr>
        <w:br/>
      </w:r>
      <w:r w:rsidRPr="008F26EB">
        <w:rPr>
          <w:rFonts w:ascii="Simplified Arabic" w:hAnsi="Simplified Arabic" w:cs="Simplified Arabic"/>
          <w:color w:val="333333"/>
          <w:sz w:val="32"/>
          <w:szCs w:val="32"/>
        </w:rPr>
        <w:br/>
      </w:r>
    </w:p>
    <w:p w:rsidR="00777E58" w:rsidRPr="008F26EB" w:rsidRDefault="00777E58" w:rsidP="000128F8">
      <w:pPr>
        <w:jc w:val="both"/>
        <w:rPr>
          <w:rFonts w:ascii="Simplified Arabic" w:hAnsi="Simplified Arabic" w:cs="Simplified Arabic"/>
          <w:sz w:val="32"/>
          <w:szCs w:val="32"/>
        </w:rPr>
      </w:pPr>
      <w:bookmarkStart w:id="0" w:name="_GoBack"/>
      <w:bookmarkEnd w:id="0"/>
    </w:p>
    <w:sectPr w:rsidR="00777E58" w:rsidRPr="008F26EB"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F7"/>
    <w:rsid w:val="000128F8"/>
    <w:rsid w:val="00026AF7"/>
    <w:rsid w:val="000521F7"/>
    <w:rsid w:val="001431A7"/>
    <w:rsid w:val="00177E0B"/>
    <w:rsid w:val="0020563A"/>
    <w:rsid w:val="00353758"/>
    <w:rsid w:val="005C548E"/>
    <w:rsid w:val="00777E58"/>
    <w:rsid w:val="007F29B8"/>
    <w:rsid w:val="008C0FF6"/>
    <w:rsid w:val="008F26EB"/>
    <w:rsid w:val="00C47C00"/>
    <w:rsid w:val="00EF7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A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E58"/>
    <w:rPr>
      <w:b/>
      <w:bCs/>
    </w:rPr>
  </w:style>
  <w:style w:type="character" w:styleId="Hyperlink">
    <w:name w:val="Hyperlink"/>
    <w:basedOn w:val="DefaultParagraphFont"/>
    <w:uiPriority w:val="99"/>
    <w:semiHidden/>
    <w:unhideWhenUsed/>
    <w:rsid w:val="00777E58"/>
    <w:rPr>
      <w:color w:val="0000FF"/>
      <w:u w:val="single"/>
    </w:rPr>
  </w:style>
  <w:style w:type="paragraph" w:styleId="BalloonText">
    <w:name w:val="Balloon Text"/>
    <w:basedOn w:val="Normal"/>
    <w:link w:val="BalloonTextChar"/>
    <w:uiPriority w:val="99"/>
    <w:semiHidden/>
    <w:unhideWhenUsed/>
    <w:rsid w:val="00777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A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E58"/>
    <w:rPr>
      <w:b/>
      <w:bCs/>
    </w:rPr>
  </w:style>
  <w:style w:type="character" w:styleId="Hyperlink">
    <w:name w:val="Hyperlink"/>
    <w:basedOn w:val="DefaultParagraphFont"/>
    <w:uiPriority w:val="99"/>
    <w:semiHidden/>
    <w:unhideWhenUsed/>
    <w:rsid w:val="00777E58"/>
    <w:rPr>
      <w:color w:val="0000FF"/>
      <w:u w:val="single"/>
    </w:rPr>
  </w:style>
  <w:style w:type="paragraph" w:styleId="BalloonText">
    <w:name w:val="Balloon Text"/>
    <w:basedOn w:val="Normal"/>
    <w:link w:val="BalloonTextChar"/>
    <w:uiPriority w:val="99"/>
    <w:semiHidden/>
    <w:unhideWhenUsed/>
    <w:rsid w:val="00777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2766">
      <w:bodyDiv w:val="1"/>
      <w:marLeft w:val="0"/>
      <w:marRight w:val="0"/>
      <w:marTop w:val="0"/>
      <w:marBottom w:val="0"/>
      <w:divBdr>
        <w:top w:val="none" w:sz="0" w:space="0" w:color="auto"/>
        <w:left w:val="none" w:sz="0" w:space="0" w:color="auto"/>
        <w:bottom w:val="none" w:sz="0" w:space="0" w:color="auto"/>
        <w:right w:val="none" w:sz="0" w:space="0" w:color="auto"/>
      </w:divBdr>
    </w:div>
    <w:div w:id="1798134284">
      <w:bodyDiv w:val="1"/>
      <w:marLeft w:val="0"/>
      <w:marRight w:val="0"/>
      <w:marTop w:val="0"/>
      <w:marBottom w:val="0"/>
      <w:divBdr>
        <w:top w:val="none" w:sz="0" w:space="0" w:color="auto"/>
        <w:left w:val="none" w:sz="0" w:space="0" w:color="auto"/>
        <w:bottom w:val="none" w:sz="0" w:space="0" w:color="auto"/>
        <w:right w:val="none" w:sz="0" w:space="0" w:color="auto"/>
      </w:divBdr>
    </w:div>
    <w:div w:id="1964578374">
      <w:bodyDiv w:val="1"/>
      <w:marLeft w:val="0"/>
      <w:marRight w:val="0"/>
      <w:marTop w:val="0"/>
      <w:marBottom w:val="0"/>
      <w:divBdr>
        <w:top w:val="none" w:sz="0" w:space="0" w:color="auto"/>
        <w:left w:val="none" w:sz="0" w:space="0" w:color="auto"/>
        <w:bottom w:val="none" w:sz="0" w:space="0" w:color="auto"/>
        <w:right w:val="none" w:sz="0" w:space="0" w:color="auto"/>
      </w:divBdr>
      <w:divsChild>
        <w:div w:id="2055422243">
          <w:marLeft w:val="0"/>
          <w:marRight w:val="0"/>
          <w:marTop w:val="0"/>
          <w:marBottom w:val="0"/>
          <w:divBdr>
            <w:top w:val="none" w:sz="0" w:space="0" w:color="auto"/>
            <w:left w:val="none" w:sz="0" w:space="0" w:color="auto"/>
            <w:bottom w:val="none" w:sz="0" w:space="0" w:color="auto"/>
            <w:right w:val="none" w:sz="0" w:space="0" w:color="auto"/>
          </w:divBdr>
          <w:divsChild>
            <w:div w:id="1167130934">
              <w:marLeft w:val="0"/>
              <w:marRight w:val="0"/>
              <w:marTop w:val="0"/>
              <w:marBottom w:val="0"/>
              <w:divBdr>
                <w:top w:val="none" w:sz="0" w:space="0" w:color="auto"/>
                <w:left w:val="none" w:sz="0" w:space="0" w:color="auto"/>
                <w:bottom w:val="none" w:sz="0" w:space="0" w:color="auto"/>
                <w:right w:val="none" w:sz="0" w:space="0" w:color="auto"/>
              </w:divBdr>
              <w:divsChild>
                <w:div w:id="818040509">
                  <w:marLeft w:val="0"/>
                  <w:marRight w:val="0"/>
                  <w:marTop w:val="0"/>
                  <w:marBottom w:val="0"/>
                  <w:divBdr>
                    <w:top w:val="none" w:sz="0" w:space="0" w:color="auto"/>
                    <w:left w:val="none" w:sz="0" w:space="0" w:color="auto"/>
                    <w:bottom w:val="none" w:sz="0" w:space="0" w:color="auto"/>
                    <w:right w:val="none" w:sz="0" w:space="0" w:color="auto"/>
                  </w:divBdr>
                  <w:divsChild>
                    <w:div w:id="17344264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5</cp:revision>
  <dcterms:created xsi:type="dcterms:W3CDTF">2018-06-18T15:36:00Z</dcterms:created>
  <dcterms:modified xsi:type="dcterms:W3CDTF">2018-06-18T15:41:00Z</dcterms:modified>
</cp:coreProperties>
</file>