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60F0B" w:rsidRPr="00160F0B" w:rsidRDefault="00160F0B" w:rsidP="00160F0B">
      <w:pPr>
        <w:shd w:val="clear" w:color="auto" w:fill="C0A154"/>
        <w:bidi w:val="0"/>
        <w:spacing w:after="0" w:line="240" w:lineRule="auto"/>
        <w:jc w:val="right"/>
        <w:outlineLvl w:val="2"/>
        <w:rPr>
          <w:rFonts w:ascii="Simplified Arabic" w:eastAsia="Times New Roman" w:hAnsi="Simplified Arabic" w:cs="Simplified Arabic"/>
          <w:color w:val="333333"/>
          <w:sz w:val="32"/>
          <w:szCs w:val="32"/>
        </w:rPr>
      </w:pPr>
      <w:r w:rsidRPr="00160F0B">
        <w:rPr>
          <w:rFonts w:ascii="Simplified Arabic" w:eastAsia="Times New Roman" w:hAnsi="Simplified Arabic" w:cs="Simplified Arabic"/>
          <w:color w:val="333333"/>
          <w:sz w:val="32"/>
          <w:szCs w:val="32"/>
          <w:rtl/>
        </w:rPr>
        <w:t>انواع النظريات المحاسبية</w:t>
      </w:r>
    </w:p>
    <w:p w:rsidR="00160F0B" w:rsidRPr="00160F0B" w:rsidRDefault="00160F0B" w:rsidP="00160F0B">
      <w:pPr>
        <w:shd w:val="clear" w:color="auto" w:fill="C0A154"/>
        <w:spacing w:after="0" w:line="240" w:lineRule="auto"/>
        <w:jc w:val="both"/>
        <w:rPr>
          <w:rFonts w:ascii="Simplified Arabic" w:eastAsia="Times New Roman" w:hAnsi="Simplified Arabic" w:cs="Simplified Arabic"/>
          <w:color w:val="333333"/>
          <w:sz w:val="20"/>
          <w:szCs w:val="20"/>
        </w:rPr>
      </w:pPr>
      <w:r w:rsidRPr="00160F0B">
        <w:rPr>
          <w:rFonts w:ascii="Simplified Arabic" w:eastAsia="Times New Roman" w:hAnsi="Simplified Arabic" w:cs="Simplified Arabic"/>
          <w:color w:val="000000"/>
          <w:sz w:val="32"/>
          <w:szCs w:val="32"/>
          <w:rtl/>
        </w:rPr>
        <w:t>تعددت النظريات المحاسبية على أثر تعدد المشاكل المح</w:t>
      </w:r>
      <w:bookmarkStart w:id="0" w:name="_GoBack"/>
      <w:bookmarkEnd w:id="0"/>
      <w:r w:rsidRPr="00160F0B">
        <w:rPr>
          <w:rFonts w:ascii="Simplified Arabic" w:eastAsia="Times New Roman" w:hAnsi="Simplified Arabic" w:cs="Simplified Arabic"/>
          <w:color w:val="000000"/>
          <w:sz w:val="32"/>
          <w:szCs w:val="32"/>
          <w:rtl/>
        </w:rPr>
        <w:t xml:space="preserve">اسبية التي تواجه الممارسون لتلك المهنة وما تبع ذلك من تعدد في الإجراءات المحاسبية الخاضعة لمجموعة متباينة أحياناً ومترادفة في أحيان أخرى من المفاهيم والمبادئ المحاسبية ، ويمكن حصر أنواع النظريات المحاسبية فيما يلي : </w:t>
      </w:r>
      <w:r w:rsidRPr="00160F0B">
        <w:rPr>
          <w:rFonts w:ascii="Simplified Arabic" w:eastAsia="Times New Roman" w:hAnsi="Simplified Arabic" w:cs="Simplified Arabic"/>
          <w:color w:val="0000FF"/>
          <w:sz w:val="32"/>
          <w:szCs w:val="32"/>
          <w:rtl/>
        </w:rPr>
        <w:br/>
      </w:r>
      <w:r w:rsidRPr="00160F0B">
        <w:rPr>
          <w:rFonts w:ascii="Simplified Arabic" w:eastAsia="Times New Roman" w:hAnsi="Simplified Arabic" w:cs="Simplified Arabic"/>
          <w:color w:val="0000FF"/>
          <w:sz w:val="32"/>
          <w:szCs w:val="32"/>
          <w:rtl/>
        </w:rPr>
        <w:br/>
      </w:r>
      <w:r w:rsidRPr="00160F0B">
        <w:rPr>
          <w:rFonts w:ascii="Simplified Arabic" w:eastAsia="Times New Roman" w:hAnsi="Simplified Arabic" w:cs="Simplified Arabic"/>
          <w:noProof/>
          <w:color w:val="0000FF"/>
          <w:sz w:val="36"/>
          <w:szCs w:val="36"/>
        </w:rPr>
        <w:drawing>
          <wp:inline distT="0" distB="0" distL="0" distR="0" wp14:anchorId="39AFDFFF" wp14:editId="2B311DBE">
            <wp:extent cx="5924550" cy="2905125"/>
            <wp:effectExtent l="0" t="0" r="0" b="9525"/>
            <wp:docPr id="1" name="Picture 1" descr="http://i49.servimg.com/u/f49/17/29/08/67/ouuoo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49.servimg.com/u/f49/17/29/08/67/ouuoo_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2905125"/>
                    </a:xfrm>
                    <a:prstGeom prst="rect">
                      <a:avLst/>
                    </a:prstGeom>
                    <a:noFill/>
                    <a:ln>
                      <a:noFill/>
                    </a:ln>
                  </pic:spPr>
                </pic:pic>
              </a:graphicData>
            </a:graphic>
          </wp:inline>
        </w:drawing>
      </w:r>
      <w:r w:rsidRPr="00160F0B">
        <w:rPr>
          <w:rFonts w:ascii="Simplified Arabic" w:eastAsia="Times New Roman" w:hAnsi="Simplified Arabic" w:cs="Simplified Arabic"/>
          <w:color w:val="0000FF"/>
          <w:sz w:val="36"/>
          <w:szCs w:val="36"/>
          <w:rtl/>
        </w:rPr>
        <w:br/>
      </w:r>
      <w:r w:rsidRPr="00160F0B">
        <w:rPr>
          <w:rFonts w:ascii="Simplified Arabic" w:eastAsia="Times New Roman" w:hAnsi="Simplified Arabic" w:cs="Simplified Arabic"/>
          <w:color w:val="0000FF"/>
          <w:sz w:val="36"/>
          <w:szCs w:val="36"/>
          <w:rtl/>
        </w:rPr>
        <w:br/>
      </w:r>
      <w:r w:rsidRPr="00160F0B">
        <w:rPr>
          <w:rFonts w:ascii="Simplified Arabic" w:eastAsia="Times New Roman" w:hAnsi="Simplified Arabic" w:cs="Simplified Arabic"/>
          <w:color w:val="000000"/>
          <w:sz w:val="36"/>
          <w:szCs w:val="36"/>
          <w:rtl/>
        </w:rPr>
        <w:t xml:space="preserve">1 – نظرية الملكية </w:t>
      </w:r>
      <w:r w:rsidRPr="00160F0B">
        <w:rPr>
          <w:rFonts w:ascii="Simplified Arabic" w:eastAsia="Times New Roman" w:hAnsi="Simplified Arabic" w:cs="Simplified Arabic"/>
          <w:color w:val="000000"/>
          <w:sz w:val="36"/>
          <w:szCs w:val="36"/>
        </w:rPr>
        <w:t>The Proprietary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وتقوم هذه النظرية على أساس عدم الفصل بين الشخصية المعنوية للشركة والملاك ، وقد بنيت هذه النظرية على أساس أن معادلة الميزانية تكون على النحو التالي : -</w:t>
      </w:r>
      <w:r w:rsidRPr="00160F0B">
        <w:rPr>
          <w:rFonts w:ascii="Simplified Arabic" w:eastAsia="Times New Roman" w:hAnsi="Simplified Arabic" w:cs="Simplified Arabic"/>
          <w:color w:val="000000"/>
          <w:sz w:val="36"/>
          <w:szCs w:val="36"/>
          <w:rtl/>
        </w:rPr>
        <w:br/>
        <w:t>( حقوق الملكية = الأصول – الخصوم )</w:t>
      </w:r>
      <w:r w:rsidRPr="00160F0B">
        <w:rPr>
          <w:rFonts w:ascii="Simplified Arabic" w:eastAsia="Times New Roman" w:hAnsi="Simplified Arabic" w:cs="Simplified Arabic"/>
          <w:color w:val="000000"/>
          <w:sz w:val="36"/>
          <w:szCs w:val="36"/>
          <w:rtl/>
        </w:rPr>
        <w:br/>
        <w:t xml:space="preserve">ومفهوم تلك المعادلة يقوم على أساس أن كافة الأصول بالشركة هي حقوق للملاك ، وكافة المطلوبات هي التزامات على الملاك ، كما تبنى هذه النظرية على أن الإيرادات هي زيادة لحقوق الملاك وأن المصروفات هي </w:t>
      </w:r>
      <w:r w:rsidRPr="00160F0B">
        <w:rPr>
          <w:rFonts w:ascii="Simplified Arabic" w:eastAsia="Times New Roman" w:hAnsi="Simplified Arabic" w:cs="Simplified Arabic"/>
          <w:color w:val="000000"/>
          <w:sz w:val="36"/>
          <w:szCs w:val="36"/>
          <w:rtl/>
        </w:rPr>
        <w:lastRenderedPageBreak/>
        <w:t>نقص في تلك الحقوق .</w:t>
      </w:r>
      <w:r w:rsidRPr="00160F0B">
        <w:rPr>
          <w:rFonts w:ascii="Simplified Arabic" w:eastAsia="Times New Roman" w:hAnsi="Simplified Arabic" w:cs="Simplified Arabic"/>
          <w:color w:val="000000"/>
          <w:sz w:val="36"/>
          <w:szCs w:val="36"/>
          <w:rtl/>
        </w:rPr>
        <w:br/>
        <w:t xml:space="preserve">2 - نظرية الوحدة المحاسبية ( الشخصية المعنوية ) </w:t>
      </w:r>
      <w:r w:rsidRPr="00160F0B">
        <w:rPr>
          <w:rFonts w:ascii="Simplified Arabic" w:eastAsia="Times New Roman" w:hAnsi="Simplified Arabic" w:cs="Simplified Arabic"/>
          <w:color w:val="000000"/>
          <w:sz w:val="36"/>
          <w:szCs w:val="36"/>
        </w:rPr>
        <w:t>The Entry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بعد ظهور الشركات المساهمة وتعاظم دورها ، وتقليص دور الملاك ، ووضع تشريعات تحدد مسئولية المساهمين والمؤسسين ظهرت بقوة نظرية الوحدة المحاسبية والتي تفترض شخصية معنوية مستقلة للشركة عن الملاك والمساهمين وأصبحت معادلة الميزانية كما يلي : - </w:t>
      </w:r>
      <w:r w:rsidRPr="00160F0B">
        <w:rPr>
          <w:rFonts w:ascii="Simplified Arabic" w:eastAsia="Times New Roman" w:hAnsi="Simplified Arabic" w:cs="Simplified Arabic"/>
          <w:color w:val="000000"/>
          <w:sz w:val="36"/>
          <w:szCs w:val="36"/>
          <w:rtl/>
        </w:rPr>
        <w:br/>
        <w:t>الأصول = الحقوق على تلك الأصول ( بما فيها المطلوبات )</w:t>
      </w:r>
      <w:r w:rsidRPr="00160F0B">
        <w:rPr>
          <w:rFonts w:ascii="Simplified Arabic" w:eastAsia="Times New Roman" w:hAnsi="Simplified Arabic" w:cs="Simplified Arabic"/>
          <w:color w:val="000000"/>
          <w:sz w:val="36"/>
          <w:szCs w:val="36"/>
          <w:rtl/>
        </w:rPr>
        <w:br/>
        <w:t>وهنا نجد أن النظرية قد بنيت على أساس أن حقوق الملاك كما هو الحال بالنسبة للدائنين كلها مصادر تمويل لنشاط المنشأة </w:t>
      </w:r>
      <w:r w:rsidRPr="00160F0B">
        <w:rPr>
          <w:rFonts w:ascii="Simplified Arabic" w:eastAsia="Times New Roman" w:hAnsi="Simplified Arabic" w:cs="Simplified Arabic"/>
          <w:color w:val="000000"/>
          <w:sz w:val="36"/>
          <w:szCs w:val="36"/>
          <w:rtl/>
        </w:rPr>
        <w:br/>
        <w:t xml:space="preserve">3 – نظرية محصلة حقوق الملكية </w:t>
      </w:r>
      <w:r w:rsidRPr="00160F0B">
        <w:rPr>
          <w:rFonts w:ascii="Simplified Arabic" w:eastAsia="Times New Roman" w:hAnsi="Simplified Arabic" w:cs="Simplified Arabic"/>
          <w:color w:val="000000"/>
          <w:sz w:val="36"/>
          <w:szCs w:val="36"/>
        </w:rPr>
        <w:t>The Residual Equity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هي تطور لنظرية حقوق الملكية ، ولكن هنا تطور مفهوم حقوق الملكية بحيث تم الفصل بين حقوق الملكية المميزة وحقوق الملكية العادية ، وأصبحت معادلة الميزانية كما يلي : - </w:t>
      </w:r>
      <w:r w:rsidRPr="00160F0B">
        <w:rPr>
          <w:rFonts w:ascii="Simplified Arabic" w:eastAsia="Times New Roman" w:hAnsi="Simplified Arabic" w:cs="Simplified Arabic"/>
          <w:color w:val="000000"/>
          <w:sz w:val="36"/>
          <w:szCs w:val="36"/>
          <w:rtl/>
        </w:rPr>
        <w:br/>
        <w:t>حقوق الملكية المتبقاة ( المحصلة ) = الأصول – حقوق الملكية المميزة</w:t>
      </w:r>
      <w:r w:rsidRPr="00160F0B">
        <w:rPr>
          <w:rFonts w:ascii="Simplified Arabic" w:eastAsia="Times New Roman" w:hAnsi="Simplified Arabic" w:cs="Simplified Arabic"/>
          <w:color w:val="000000"/>
          <w:sz w:val="36"/>
          <w:szCs w:val="36"/>
          <w:rtl/>
        </w:rPr>
        <w:br/>
        <w:t>والمقصود هنا بحقوق الملكية المميزة هي حقوق حملة الأسهم المميزة والتي تقوم النظرية على أساس الوفاء أولاً بحقوقهم ، ومن ثم الوفاء بحقوق حملة الأسهم العادية بحيث لا يتقاضى حملة الأسهم العادية حقوقهم إلا بعد سداد حقوق حملة الأسهم المميزة أولاً .</w:t>
      </w:r>
      <w:r w:rsidRPr="00160F0B">
        <w:rPr>
          <w:rFonts w:ascii="Simplified Arabic" w:eastAsia="Times New Roman" w:hAnsi="Simplified Arabic" w:cs="Simplified Arabic"/>
          <w:color w:val="000000"/>
          <w:sz w:val="36"/>
          <w:szCs w:val="36"/>
          <w:rtl/>
        </w:rPr>
        <w:br/>
        <w:t xml:space="preserve">4 – نظرية الأموال </w:t>
      </w:r>
      <w:r w:rsidRPr="00160F0B">
        <w:rPr>
          <w:rFonts w:ascii="Simplified Arabic" w:eastAsia="Times New Roman" w:hAnsi="Simplified Arabic" w:cs="Simplified Arabic"/>
          <w:color w:val="000000"/>
          <w:sz w:val="36"/>
          <w:szCs w:val="36"/>
        </w:rPr>
        <w:t>The Fund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 xml:space="preserve">وجد </w:t>
      </w:r>
      <w:proofErr w:type="spellStart"/>
      <w:r w:rsidRPr="00160F0B">
        <w:rPr>
          <w:rFonts w:ascii="Simplified Arabic" w:eastAsia="Times New Roman" w:hAnsi="Simplified Arabic" w:cs="Simplified Arabic"/>
          <w:color w:val="000000"/>
          <w:sz w:val="36"/>
          <w:szCs w:val="36"/>
        </w:rPr>
        <w:t>Vatter</w:t>
      </w:r>
      <w:proofErr w:type="spellEnd"/>
      <w:r w:rsidRPr="00160F0B">
        <w:rPr>
          <w:rFonts w:ascii="Simplified Arabic" w:eastAsia="Times New Roman" w:hAnsi="Simplified Arabic" w:cs="Simplified Arabic"/>
          <w:color w:val="000000"/>
          <w:sz w:val="36"/>
          <w:szCs w:val="36"/>
          <w:rtl/>
        </w:rPr>
        <w:t xml:space="preserve"> أن النظريات السابقة تقوم على أساس شخصي مما يؤثر على موضوعية الإجراءات المحاسبية ، فقام بوضع نظرية الأموال والتي تقوم على أساس التركيز على أموال المنشأة وكأن المنشأة هي صندوق من </w:t>
      </w:r>
      <w:r w:rsidRPr="00160F0B">
        <w:rPr>
          <w:rFonts w:ascii="Simplified Arabic" w:eastAsia="Times New Roman" w:hAnsi="Simplified Arabic" w:cs="Simplified Arabic"/>
          <w:color w:val="000000"/>
          <w:sz w:val="36"/>
          <w:szCs w:val="36"/>
          <w:rtl/>
        </w:rPr>
        <w:lastRenderedPageBreak/>
        <w:t>المال له هدف ألا وهو تحقيق عائد من استثمار تلك الأموال ، ومن هنا كانت نظرية الميزانية كما يلي : - </w:t>
      </w:r>
      <w:r w:rsidRPr="00160F0B">
        <w:rPr>
          <w:rFonts w:ascii="Simplified Arabic" w:eastAsia="Times New Roman" w:hAnsi="Simplified Arabic" w:cs="Simplified Arabic"/>
          <w:color w:val="000000"/>
          <w:sz w:val="36"/>
          <w:szCs w:val="36"/>
          <w:rtl/>
        </w:rPr>
        <w:br/>
        <w:t>الأصول = القيود القائمة على تلك الأصول</w:t>
      </w:r>
      <w:r w:rsidRPr="00160F0B">
        <w:rPr>
          <w:rFonts w:ascii="Simplified Arabic" w:eastAsia="Times New Roman" w:hAnsi="Simplified Arabic" w:cs="Simplified Arabic"/>
          <w:color w:val="000000"/>
          <w:sz w:val="36"/>
          <w:szCs w:val="36"/>
          <w:rtl/>
        </w:rPr>
        <w:br/>
        <w:t>وقد اعتبرت نظرية الأموال كلاً من المطلوبات وحقوق الملاك ما هي إلا قيود على الأصول القائمة بالمنشأة .</w:t>
      </w:r>
      <w:r w:rsidRPr="00160F0B">
        <w:rPr>
          <w:rFonts w:ascii="Simplified Arabic" w:eastAsia="Times New Roman" w:hAnsi="Simplified Arabic" w:cs="Simplified Arabic"/>
          <w:color w:val="000000"/>
          <w:sz w:val="36"/>
          <w:szCs w:val="36"/>
          <w:rtl/>
        </w:rPr>
        <w:br/>
        <w:t xml:space="preserve">5 – نظرية القائد </w:t>
      </w:r>
      <w:r w:rsidRPr="00160F0B">
        <w:rPr>
          <w:rFonts w:ascii="Simplified Arabic" w:eastAsia="Times New Roman" w:hAnsi="Simplified Arabic" w:cs="Simplified Arabic"/>
          <w:color w:val="000000"/>
          <w:sz w:val="36"/>
          <w:szCs w:val="36"/>
        </w:rPr>
        <w:t>The Commander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تؤكد هذه النظرية على أهمية العامل الشخصي ؛ حيث أنها ترى أن هناك أشخاص يمتلكون المهارات والكفاءات لإدارة المنشأة لتحقيق أهدافها ، وهنا يكون التركيز على الدور الرقابي على الموارد الاقتصادية للمنشأة ، ولكن مع الأخذ في الاعتبار أن يكون هؤلاء الأشخاص المعنيين بالدور الرقابي الفعال ليسوا الملاك وإنما يكونوا الإدارة العليا التي تحدد السياسات والإجراءات التي يتم العمل بها بالمنشأة .</w:t>
      </w:r>
      <w:r w:rsidRPr="00160F0B">
        <w:rPr>
          <w:rFonts w:ascii="Simplified Arabic" w:eastAsia="Times New Roman" w:hAnsi="Simplified Arabic" w:cs="Simplified Arabic"/>
          <w:color w:val="000000"/>
          <w:sz w:val="36"/>
          <w:szCs w:val="36"/>
          <w:rtl/>
        </w:rPr>
        <w:br/>
        <w:t xml:space="preserve">6 – نظرية المنشأة </w:t>
      </w:r>
      <w:r w:rsidRPr="00160F0B">
        <w:rPr>
          <w:rFonts w:ascii="Simplified Arabic" w:eastAsia="Times New Roman" w:hAnsi="Simplified Arabic" w:cs="Simplified Arabic"/>
          <w:color w:val="000000"/>
          <w:sz w:val="36"/>
          <w:szCs w:val="36"/>
        </w:rPr>
        <w:t>The Enterprise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بظهور تلك النظرية تغير المنظور العام للمنشأة من كونها مؤسسة تسعى لتحقيق الربح للوفاء بالالتزامات وحقوق الملاك والمساهمين فقط ، إلى أنها مشروعاً اجتماعياً عليها دور اجتماعي تجاه المساهمين والموظفين والعملاء والجهات الحكومية ......... الخ .</w:t>
      </w:r>
      <w:r w:rsidRPr="00160F0B">
        <w:rPr>
          <w:rFonts w:ascii="Simplified Arabic" w:eastAsia="Times New Roman" w:hAnsi="Simplified Arabic" w:cs="Simplified Arabic"/>
          <w:color w:val="000000"/>
          <w:sz w:val="36"/>
          <w:szCs w:val="36"/>
          <w:rtl/>
        </w:rPr>
        <w:br/>
        <w:t xml:space="preserve">7 – النظرية الإيجابية </w:t>
      </w:r>
      <w:r w:rsidRPr="00160F0B">
        <w:rPr>
          <w:rFonts w:ascii="Simplified Arabic" w:eastAsia="Times New Roman" w:hAnsi="Simplified Arabic" w:cs="Simplified Arabic"/>
          <w:color w:val="000000"/>
          <w:sz w:val="36"/>
          <w:szCs w:val="36"/>
        </w:rPr>
        <w:t>The Positive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وتهتم تلك النظرية بتحسين عملية التنبؤ بالأحداث ، والتركيز على ردود أفعال الأطراف المعنية بالأحداث ، ومدى استجابة إدارة أي منشأة للمعايير المعمول بها ، واختيارها لأحد السياسات المحاسبية دون الأخرى من بين عدة بدائل متاحة لذلك ؛ قد بنيت هذه النظرية على ثلاثة فروض أساسية وهي : - </w:t>
      </w:r>
      <w:r w:rsidRPr="00160F0B">
        <w:rPr>
          <w:rFonts w:ascii="Simplified Arabic" w:eastAsia="Times New Roman" w:hAnsi="Simplified Arabic" w:cs="Simplified Arabic"/>
          <w:color w:val="000000"/>
          <w:sz w:val="36"/>
          <w:szCs w:val="36"/>
          <w:rtl/>
        </w:rPr>
        <w:br/>
      </w:r>
      <w:r w:rsidRPr="00160F0B">
        <w:rPr>
          <w:rFonts w:ascii="Simplified Arabic" w:eastAsia="Times New Roman" w:hAnsi="Simplified Arabic" w:cs="Simplified Arabic"/>
          <w:color w:val="000000"/>
          <w:sz w:val="36"/>
          <w:szCs w:val="36"/>
          <w:rtl/>
        </w:rPr>
        <w:lastRenderedPageBreak/>
        <w:t>أ / فرض المكافأة </w:t>
      </w:r>
      <w:r w:rsidRPr="00160F0B">
        <w:rPr>
          <w:rFonts w:ascii="Simplified Arabic" w:eastAsia="Times New Roman" w:hAnsi="Simplified Arabic" w:cs="Simplified Arabic"/>
          <w:color w:val="000000"/>
          <w:sz w:val="36"/>
          <w:szCs w:val="36"/>
          <w:rtl/>
        </w:rPr>
        <w:br/>
        <w:t>ويعني أنه في حالة تطبيق نظام المكافأة للمديرين من صافي الربح قد يلجأ المديرون إلى نقل أرباح الفترات القادمة إلى الفترة الحالية للحصول على أكبر قدر ممكن من المكافآت .</w:t>
      </w:r>
      <w:r w:rsidRPr="00160F0B">
        <w:rPr>
          <w:rFonts w:ascii="Simplified Arabic" w:eastAsia="Times New Roman" w:hAnsi="Simplified Arabic" w:cs="Simplified Arabic"/>
          <w:color w:val="000000"/>
          <w:sz w:val="36"/>
          <w:szCs w:val="36"/>
          <w:rtl/>
        </w:rPr>
        <w:br/>
        <w:t>ب / فرض الائتمان</w:t>
      </w:r>
      <w:r w:rsidRPr="00160F0B">
        <w:rPr>
          <w:rFonts w:ascii="Simplified Arabic" w:eastAsia="Times New Roman" w:hAnsi="Simplified Arabic" w:cs="Simplified Arabic"/>
          <w:color w:val="000000"/>
          <w:sz w:val="36"/>
          <w:szCs w:val="36"/>
          <w:rtl/>
        </w:rPr>
        <w:br/>
        <w:t>في حال وجود تعثر مالي قد يلجأ المسئولون عن ذلك إلى اتخاذ قرار بنقل أرباح الفترات اللاحقة إلى الفترة الجارية لعدم ظهور تعثر مالي أو قانوني خلال الفترة .</w:t>
      </w:r>
      <w:r w:rsidRPr="00160F0B">
        <w:rPr>
          <w:rFonts w:ascii="Simplified Arabic" w:eastAsia="Times New Roman" w:hAnsi="Simplified Arabic" w:cs="Simplified Arabic"/>
          <w:color w:val="000000"/>
          <w:sz w:val="36"/>
          <w:szCs w:val="36"/>
          <w:rtl/>
        </w:rPr>
        <w:br/>
        <w:t>ج / فرض التكلفة السياسية </w:t>
      </w:r>
      <w:r w:rsidRPr="00160F0B">
        <w:rPr>
          <w:rFonts w:ascii="Simplified Arabic" w:eastAsia="Times New Roman" w:hAnsi="Simplified Arabic" w:cs="Simplified Arabic"/>
          <w:color w:val="000000"/>
          <w:sz w:val="36"/>
          <w:szCs w:val="36"/>
          <w:rtl/>
        </w:rPr>
        <w:br/>
        <w:t>قد يؤدي الإفصاح والإعلان عن أرقام الأرباح الحقيقية إلى جذب انتباه الدولة أو دفع ضرائب عالية مما قد يدفع الإدارة العليا إلى اتخاذ قرار بتأجيل أرباح الفترة الحالية إلى فترات قادمة .</w:t>
      </w:r>
      <w:r w:rsidRPr="00160F0B">
        <w:rPr>
          <w:rFonts w:ascii="Simplified Arabic" w:eastAsia="Times New Roman" w:hAnsi="Simplified Arabic" w:cs="Simplified Arabic"/>
          <w:color w:val="000000"/>
          <w:sz w:val="36"/>
          <w:szCs w:val="36"/>
          <w:rtl/>
        </w:rPr>
        <w:br/>
        <w:t xml:space="preserve">8 – نظرية المباريات </w:t>
      </w:r>
      <w:r w:rsidRPr="00160F0B">
        <w:rPr>
          <w:rFonts w:ascii="Simplified Arabic" w:eastAsia="Times New Roman" w:hAnsi="Simplified Arabic" w:cs="Simplified Arabic"/>
          <w:color w:val="000000"/>
          <w:sz w:val="36"/>
          <w:szCs w:val="36"/>
        </w:rPr>
        <w:t>The Game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وتعالج تلك النظرية مشكلة تضارب المصالح ووجود أكثر من طرف يتضارب ويتنافس لتحقيق أكبر قدر ممكن من الفائدة ، وهنا نجد أن هناك عدد كبير من اللاعبين في السوق يتنازعون في نفس المجال وتقوم هذه النظرية على تحليل سلوك هؤلاء اللاعبين وردود أفعالهم خلال عملية المنافسة .</w:t>
      </w:r>
      <w:r w:rsidRPr="00160F0B">
        <w:rPr>
          <w:rFonts w:ascii="Simplified Arabic" w:eastAsia="Times New Roman" w:hAnsi="Simplified Arabic" w:cs="Simplified Arabic"/>
          <w:color w:val="000000"/>
          <w:sz w:val="36"/>
          <w:szCs w:val="36"/>
          <w:rtl/>
        </w:rPr>
        <w:br/>
        <w:t xml:space="preserve">9 – نظرية الوكالة </w:t>
      </w:r>
      <w:r w:rsidRPr="00160F0B">
        <w:rPr>
          <w:rFonts w:ascii="Simplified Arabic" w:eastAsia="Times New Roman" w:hAnsi="Simplified Arabic" w:cs="Simplified Arabic"/>
          <w:color w:val="000000"/>
          <w:sz w:val="36"/>
          <w:szCs w:val="36"/>
        </w:rPr>
        <w:t>The Agency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تقوم نظرية الوكالة على أسس مفاهيم نظرية المباريات ولكنها تختلف عنها في طبيعة العلاقة بين الأطراف حيث أن العلاقة بين الأطراف في نظرية المباريات تكون تنافسية وتتسم بالتضارب ، والعكس بنظرية الوكالة فتكون العلاقة بين الأطراف قائمة على التعاون والعلاقة التعاقدية لتحقيق الهدف .</w:t>
      </w:r>
      <w:r w:rsidRPr="00160F0B">
        <w:rPr>
          <w:rFonts w:ascii="Simplified Arabic" w:eastAsia="Times New Roman" w:hAnsi="Simplified Arabic" w:cs="Simplified Arabic"/>
          <w:color w:val="000000"/>
          <w:sz w:val="36"/>
          <w:szCs w:val="36"/>
          <w:rtl/>
        </w:rPr>
        <w:br/>
      </w:r>
      <w:r w:rsidRPr="00160F0B">
        <w:rPr>
          <w:rFonts w:ascii="Simplified Arabic" w:eastAsia="Times New Roman" w:hAnsi="Simplified Arabic" w:cs="Simplified Arabic"/>
          <w:color w:val="000000"/>
          <w:sz w:val="36"/>
          <w:szCs w:val="36"/>
          <w:rtl/>
        </w:rPr>
        <w:lastRenderedPageBreak/>
        <w:t>وكذلك ترتبط نظرية الوكالة بالنظرية الإيجابية ونظرية القرارات حيث تقوم العلاقة بتلك النظرية بين الملاك وهو الطرف الموكل وبين الطرف الوكيل ويكون المفوض بالصلاحيات لممارسة النشاط واتخاذ القرارات نيابة عنه لتحقيق أهداف المنشأة ، وتكون العلاقة في شكل تعاقد صريح بين الطرفين تحدد فيه طبيعة العلاقة وما لكل طرف وما عليه .</w:t>
      </w:r>
      <w:r w:rsidRPr="00160F0B">
        <w:rPr>
          <w:rFonts w:ascii="Simplified Arabic" w:eastAsia="Times New Roman" w:hAnsi="Simplified Arabic" w:cs="Simplified Arabic"/>
          <w:color w:val="000000"/>
          <w:sz w:val="36"/>
          <w:szCs w:val="36"/>
          <w:rtl/>
        </w:rPr>
        <w:br/>
        <w:t xml:space="preserve">10 – نظرية تكاليف التعاقد </w:t>
      </w:r>
      <w:r w:rsidRPr="00160F0B">
        <w:rPr>
          <w:rFonts w:ascii="Simplified Arabic" w:eastAsia="Times New Roman" w:hAnsi="Simplified Arabic" w:cs="Simplified Arabic"/>
          <w:color w:val="000000"/>
          <w:sz w:val="36"/>
          <w:szCs w:val="36"/>
        </w:rPr>
        <w:t>The Contracting Cost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تعد هذه النظرية هي النصف الآخر لنظرية الوكالة ، وكلاهما معاً بينهما علاقة وطيدة حتى أصبت النظريتين معاً من أهم نتائج النظرية الإيجابية والتي ساهمت بشكل كبير في بناء النظرية المحاسبية ، وتنص هذه النظرية على أن المعلومات المحاسبية هي الوسيلة التي تساعد على تخفيض تكلفة الوكالة ، والتي تساعد في وضع سياسات مقترنة بشروط وقواعد تحدد قواعد القياس المطلقة في إعداد القوائم المالية والتي تؤدي بالنهاية إلى تعزيز السعر السوقي للسهم ، وتخفيض فرص توزيع الأرباح .</w:t>
      </w:r>
      <w:r w:rsidRPr="00160F0B">
        <w:rPr>
          <w:rFonts w:ascii="Simplified Arabic" w:eastAsia="Times New Roman" w:hAnsi="Simplified Arabic" w:cs="Simplified Arabic"/>
          <w:color w:val="000000"/>
          <w:sz w:val="36"/>
          <w:szCs w:val="36"/>
          <w:rtl/>
        </w:rPr>
        <w:br/>
        <w:t xml:space="preserve">11 – نظرية الإشارة </w:t>
      </w:r>
      <w:r w:rsidRPr="00160F0B">
        <w:rPr>
          <w:rFonts w:ascii="Simplified Arabic" w:eastAsia="Times New Roman" w:hAnsi="Simplified Arabic" w:cs="Simplified Arabic"/>
          <w:color w:val="000000"/>
          <w:sz w:val="36"/>
          <w:szCs w:val="36"/>
        </w:rPr>
        <w:t>The Signaling Theory</w:t>
      </w:r>
      <w:r w:rsidRPr="00160F0B">
        <w:rPr>
          <w:rFonts w:ascii="Simplified Arabic" w:eastAsia="Times New Roman" w:hAnsi="Simplified Arabic" w:cs="Simplified Arabic"/>
          <w:color w:val="000000"/>
          <w:sz w:val="36"/>
          <w:szCs w:val="36"/>
          <w:rtl/>
        </w:rPr>
        <w:t> </w:t>
      </w:r>
      <w:r w:rsidRPr="00160F0B">
        <w:rPr>
          <w:rFonts w:ascii="Simplified Arabic" w:eastAsia="Times New Roman" w:hAnsi="Simplified Arabic" w:cs="Simplified Arabic"/>
          <w:color w:val="000000"/>
          <w:sz w:val="36"/>
          <w:szCs w:val="36"/>
          <w:rtl/>
        </w:rPr>
        <w:br/>
        <w:t>وتركز هذه النظرية على زيادة فرصة المنشأة من الحصول على التمويل الرأسمالي من السوق ، وذلك بناءً على الثقة التي تكتسبها المنشأة من نشر قوائمها المالية والتي تظهر بصورة تدعم سمعة المنشأة مما يولد انطباعاً بالثقة لدى المستثمرين وتدني مستوى الإحساس بالمخاطر تجاه تمويل المنشأة ، كذلك وجود حوافز قوية لدى المنشآت الناجحة للإعلان عن نتائج أعمالها يزيد من الضغوط التنافسية بين المنشآت ، حتى تضطر المنشآت التي لا تحقق نتائج جيدة أن تعلن عن نتائج نشاطها لأن عدم الإعلان يفقد الثقة تماماً لدى الممولين .</w:t>
      </w:r>
    </w:p>
    <w:p w:rsidR="00DC6DFB" w:rsidRPr="00160F0B" w:rsidRDefault="00DC6DFB">
      <w:pPr>
        <w:rPr>
          <w:rFonts w:ascii="Simplified Arabic" w:hAnsi="Simplified Arabic" w:cs="Simplified Arabic"/>
        </w:rPr>
      </w:pPr>
    </w:p>
    <w:sectPr w:rsidR="00DC6DFB" w:rsidRPr="00160F0B"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0B"/>
    <w:rsid w:val="00160F0B"/>
    <w:rsid w:val="0020563A"/>
    <w:rsid w:val="00DC6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305">
      <w:bodyDiv w:val="1"/>
      <w:marLeft w:val="0"/>
      <w:marRight w:val="0"/>
      <w:marTop w:val="0"/>
      <w:marBottom w:val="0"/>
      <w:divBdr>
        <w:top w:val="none" w:sz="0" w:space="0" w:color="auto"/>
        <w:left w:val="none" w:sz="0" w:space="0" w:color="auto"/>
        <w:bottom w:val="none" w:sz="0" w:space="0" w:color="auto"/>
        <w:right w:val="none" w:sz="0" w:space="0" w:color="auto"/>
      </w:divBdr>
      <w:divsChild>
        <w:div w:id="76842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BFCE-C1C2-4650-9F4E-E3CEFFF5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1</cp:revision>
  <dcterms:created xsi:type="dcterms:W3CDTF">2018-05-27T18:14:00Z</dcterms:created>
  <dcterms:modified xsi:type="dcterms:W3CDTF">2018-05-27T18:18:00Z</dcterms:modified>
</cp:coreProperties>
</file>