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Garamond" w:cs="Garamond" w:hAnsi="Garamond" w:eastAsia="Garamond"/>
          <w:b w:val="1"/>
          <w:bCs w:val="1"/>
          <w:i w:val="1"/>
          <w:i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Curriculum Vitae</w:t>
      </w:r>
    </w:p>
    <w:p>
      <w:pPr>
        <w:pStyle w:val="Body"/>
        <w:shd w:val="clear" w:color="auto" w:fill="d6e3bc"/>
        <w:jc w:val="center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Huda Ibraheem Abd AL-Lateef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Mustansiriyah University </w:t>
      </w:r>
      <w:r>
        <w:rPr>
          <w:rFonts w:ascii="Garamond" w:hAnsi="Garamond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National Center of Hematology 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Mobile</w:t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 +9647704378757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jc w:val="center"/>
        <w:rPr>
          <w:rFonts w:ascii="Garamond" w:cs="Garamond" w:hAnsi="Garamond" w:eastAsia="Garamond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</w:t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"mailto:huda_bio2000@uomustansiriyah.edu.iq"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huda_bio2000@uomustansiriyah.edu.iq</w:t>
      </w:r>
      <w:r>
        <w:rPr/>
        <w:fldChar w:fldCharType="end" w:fldLock="0"/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"mailto:huda_bio2000@yahoo.com"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huda_bio2000@yahoo.com</w:t>
      </w:r>
      <w:r>
        <w:rPr/>
        <w:fldChar w:fldCharType="end" w:fldLock="0"/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b w:val="1"/>
          <w:bCs w:val="1"/>
          <w:smallCaps w:val="1"/>
          <w:sz w:val="22"/>
          <w:szCs w:val="22"/>
        </w:rPr>
      </w:pPr>
      <w:r>
        <w:rPr>
          <w:smallCaps w:val="1"/>
          <w:rtl w:val="0"/>
          <w:lang w:val="en-US"/>
        </w:rPr>
        <w:t xml:space="preserve"> </w:t>
      </w:r>
      <w:r>
        <w:rPr>
          <w:b w:val="1"/>
          <w:bCs w:val="1"/>
          <w:smallCaps w:val="1"/>
          <w:sz w:val="28"/>
          <w:szCs w:val="28"/>
          <w:rtl w:val="0"/>
          <w:lang w:val="en-US"/>
        </w:rPr>
        <w:t>Personal Summary:</w:t>
      </w: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Assistant lecturer and researcher at the national center of hematology. 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smallCaps w:val="1"/>
        </w:rPr>
      </w:pPr>
      <w:r>
        <w:rPr>
          <w:smallCaps w:val="1"/>
          <w:rtl w:val="0"/>
          <w:lang w:val="en-US"/>
        </w:rPr>
        <w:t xml:space="preserve"> </w:t>
      </w:r>
      <w:r>
        <w:rPr>
          <w:b w:val="1"/>
          <w:bCs w:val="1"/>
          <w:smallCaps w:val="1"/>
          <w:sz w:val="28"/>
          <w:szCs w:val="28"/>
          <w:rtl w:val="0"/>
          <w:lang w:val="en-US"/>
        </w:rPr>
        <w:t>Education:</w:t>
      </w: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91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Awarded  M.Sc. degree in Medical Microbiology, Medicine college/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Baghdad University/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Awarded B.Sc. degree in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Science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Science College/ Mustansiriyah University /2003. </w:t>
      </w:r>
    </w:p>
    <w:p>
      <w:pPr>
        <w:pStyle w:val="Default"/>
        <w:ind w:left="720" w:firstLine="0"/>
        <w:rPr>
          <w:sz w:val="22"/>
          <w:szCs w:val="22"/>
        </w:rPr>
      </w:pPr>
    </w:p>
    <w:p>
      <w:pPr>
        <w:pStyle w:val="Default"/>
        <w:ind w:left="720" w:firstLine="0"/>
        <w:rPr>
          <w:sz w:val="22"/>
          <w:szCs w:val="22"/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smallCaps w:val="1"/>
        </w:rPr>
      </w:pPr>
      <w:r>
        <w:rPr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A</w:t>
      </w:r>
      <w:r>
        <w:rPr>
          <w:b w:val="1"/>
          <w:bCs w:val="1"/>
          <w:sz w:val="22"/>
          <w:szCs w:val="22"/>
          <w:rtl w:val="0"/>
          <w:lang w:val="en-US"/>
        </w:rPr>
        <w:t xml:space="preserve">CADEMIC </w:t>
      </w:r>
      <w:r>
        <w:rPr>
          <w:b w:val="1"/>
          <w:bCs w:val="1"/>
          <w:sz w:val="28"/>
          <w:szCs w:val="28"/>
          <w:rtl w:val="0"/>
          <w:lang w:val="en-US"/>
        </w:rPr>
        <w:t>H</w:t>
      </w:r>
      <w:r>
        <w:rPr>
          <w:b w:val="1"/>
          <w:bCs w:val="1"/>
          <w:sz w:val="22"/>
          <w:szCs w:val="22"/>
          <w:rtl w:val="0"/>
          <w:lang w:val="en-US"/>
        </w:rPr>
        <w:t xml:space="preserve">ONORS AND </w:t>
      </w:r>
      <w:r>
        <w:rPr>
          <w:b w:val="1"/>
          <w:bCs w:val="1"/>
          <w:sz w:val="28"/>
          <w:szCs w:val="28"/>
          <w:rtl w:val="0"/>
          <w:lang w:val="en-US"/>
        </w:rPr>
        <w:t>A</w:t>
      </w:r>
      <w:r>
        <w:rPr>
          <w:b w:val="1"/>
          <w:bCs w:val="1"/>
          <w:sz w:val="22"/>
          <w:szCs w:val="22"/>
          <w:rtl w:val="0"/>
          <w:lang w:val="en-US"/>
        </w:rPr>
        <w:t>WARDS:</w:t>
      </w:r>
    </w:p>
    <w:p>
      <w:pPr>
        <w:pStyle w:val="Default"/>
        <w:ind w:left="720" w:firstLine="0"/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#1: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#2: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sz w:val="22"/>
          <w:szCs w:val="22"/>
        </w:rPr>
      </w:pPr>
      <w:r>
        <w:rPr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A</w:t>
      </w:r>
      <w:r>
        <w:rPr>
          <w:b w:val="1"/>
          <w:bCs w:val="1"/>
          <w:sz w:val="22"/>
          <w:szCs w:val="22"/>
          <w:rtl w:val="0"/>
          <w:lang w:val="en-US"/>
        </w:rPr>
        <w:t xml:space="preserve">CADEMIC </w:t>
      </w:r>
      <w:r>
        <w:rPr>
          <w:b w:val="1"/>
          <w:bCs w:val="1"/>
          <w:sz w:val="28"/>
          <w:szCs w:val="28"/>
          <w:rtl w:val="0"/>
          <w:lang w:val="en-US"/>
        </w:rPr>
        <w:t>/T</w:t>
      </w:r>
      <w:r>
        <w:rPr>
          <w:b w:val="1"/>
          <w:bCs w:val="1"/>
          <w:sz w:val="22"/>
          <w:szCs w:val="22"/>
          <w:rtl w:val="0"/>
          <w:lang w:val="en-US"/>
        </w:rPr>
        <w:t xml:space="preserve">EACHING </w:t>
      </w:r>
      <w:r>
        <w:rPr>
          <w:b w:val="1"/>
          <w:bCs w:val="1"/>
          <w:sz w:val="28"/>
          <w:szCs w:val="28"/>
          <w:rtl w:val="0"/>
          <w:lang w:val="en-US"/>
        </w:rPr>
        <w:t>E</w:t>
      </w:r>
      <w:r>
        <w:rPr>
          <w:b w:val="1"/>
          <w:bCs w:val="1"/>
          <w:sz w:val="22"/>
          <w:szCs w:val="22"/>
          <w:rtl w:val="0"/>
          <w:lang w:val="en-US"/>
        </w:rPr>
        <w:t>XPERIENCE: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Teaching microbiology labs at Medicine college/Al-Mustinsiriya University for 1 day per a week for the 3rd class of under graduating medical students (2016, 2017 &amp; 2022 class years). </w:t>
      </w:r>
    </w:p>
    <w:p>
      <w:pPr>
        <w:pStyle w:val="Default"/>
        <w:ind w:left="360" w:firstLine="0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sz w:val="22"/>
          <w:szCs w:val="22"/>
        </w:rPr>
      </w:pPr>
      <w:r>
        <w:rPr>
          <w:b w:val="1"/>
          <w:bCs w:val="1"/>
          <w:sz w:val="28"/>
          <w:szCs w:val="28"/>
          <w:rtl w:val="0"/>
          <w:lang w:val="en-US"/>
        </w:rPr>
        <w:t>C</w:t>
      </w:r>
      <w:r>
        <w:rPr>
          <w:b w:val="1"/>
          <w:bCs w:val="1"/>
          <w:sz w:val="22"/>
          <w:szCs w:val="22"/>
          <w:rtl w:val="0"/>
          <w:lang w:val="en-US"/>
        </w:rPr>
        <w:t xml:space="preserve">OURSES </w:t>
      </w:r>
      <w:r>
        <w:rPr>
          <w:b w:val="1"/>
          <w:bCs w:val="1"/>
          <w:sz w:val="28"/>
          <w:szCs w:val="28"/>
          <w:rtl w:val="0"/>
          <w:lang w:val="en-US"/>
        </w:rPr>
        <w:t>T</w:t>
      </w:r>
      <w:r>
        <w:rPr>
          <w:b w:val="1"/>
          <w:bCs w:val="1"/>
          <w:sz w:val="22"/>
          <w:szCs w:val="22"/>
          <w:rtl w:val="0"/>
          <w:lang w:val="en-US"/>
        </w:rPr>
        <w:t>AUGHT:</w:t>
      </w:r>
    </w:p>
    <w:p>
      <w:pPr>
        <w:pStyle w:val="Body"/>
        <w:rPr>
          <w:sz w:val="8"/>
          <w:szCs w:val="8"/>
        </w:rPr>
      </w:pPr>
    </w:p>
    <w:tbl>
      <w:tblPr>
        <w:tblW w:w="8930" w:type="dxa"/>
        <w:jc w:val="lef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4536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Undergraduate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Graduate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Medical microbiology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817" w:hanging="817"/>
        <w:rPr>
          <w:sz w:val="8"/>
          <w:szCs w:val="8"/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n-US"/>
        </w:rPr>
        <w:t>P</w:t>
      </w:r>
      <w:r>
        <w:rPr>
          <w:b w:val="1"/>
          <w:bCs w:val="1"/>
          <w:sz w:val="22"/>
          <w:szCs w:val="22"/>
          <w:rtl w:val="0"/>
          <w:lang w:val="en-US"/>
        </w:rPr>
        <w:t xml:space="preserve">ROFESSIONAL </w:t>
      </w:r>
      <w:r>
        <w:rPr>
          <w:b w:val="1"/>
          <w:bCs w:val="1"/>
          <w:sz w:val="28"/>
          <w:szCs w:val="28"/>
          <w:rtl w:val="0"/>
          <w:lang w:val="en-US"/>
        </w:rPr>
        <w:t>A</w:t>
      </w:r>
      <w:r>
        <w:rPr>
          <w:b w:val="1"/>
          <w:bCs w:val="1"/>
          <w:sz w:val="22"/>
          <w:szCs w:val="22"/>
          <w:rtl w:val="0"/>
          <w:lang w:val="en-US"/>
        </w:rPr>
        <w:t>FFILIATIONS: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2014- till now Assistant lecturer at the national center of hematology.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2014-2015 Chief of the biochemistry department at the national center of hematology.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n-US"/>
        </w:rPr>
        <w:t>P</w:t>
      </w:r>
      <w:r>
        <w:rPr>
          <w:b w:val="1"/>
          <w:bCs w:val="1"/>
          <w:sz w:val="22"/>
          <w:szCs w:val="22"/>
          <w:rtl w:val="0"/>
          <w:lang w:val="en-US"/>
        </w:rPr>
        <w:t>UPLICATIONS: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</w:pPr>
      <w:r>
        <w:rPr>
          <w:rtl w:val="0"/>
          <w:lang w:val="en-US"/>
        </w:rPr>
        <w:t>Abdul-Lateef HI, AL-Najar SA, Abul Majeed NG. The levels of IFN- , IL-12 And Testosterone Hormone in Persons with Asymptomatic Toxoplasmosis. JFacMedBagdad 2012. 19];54(1):79-82.</w:t>
      </w:r>
    </w:p>
    <w:p>
      <w:pPr>
        <w:pStyle w:val="Default"/>
      </w:pPr>
    </w:p>
    <w:p>
      <w:pPr>
        <w:pStyle w:val="Default"/>
      </w:pPr>
      <w:r>
        <w:rPr>
          <w:rtl w:val="0"/>
          <w:lang w:val="en-US"/>
        </w:rPr>
        <w:t xml:space="preserve">Salman AF, Abdul-Lateef HI, Khazeem M.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ffect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n-US"/>
        </w:rPr>
        <w:t xml:space="preserve"> D</w:t>
      </w:r>
      <w:r>
        <w:rPr>
          <w:rtl w:val="0"/>
          <w:lang w:val="en-US"/>
        </w:rPr>
        <w:t>ifferent</w:t>
      </w:r>
      <w:r>
        <w:rPr>
          <w:rtl w:val="0"/>
          <w:lang w:val="en-US"/>
        </w:rPr>
        <w:t xml:space="preserve"> F</w:t>
      </w:r>
      <w:r>
        <w:rPr>
          <w:rtl w:val="0"/>
          <w:lang w:val="en-US"/>
        </w:rPr>
        <w:t>reezing</w:t>
      </w:r>
      <w:r>
        <w:rPr>
          <w:rtl w:val="0"/>
          <w:lang w:val="en-US"/>
        </w:rPr>
        <w:t xml:space="preserve"> P</w:t>
      </w:r>
      <w:r>
        <w:rPr>
          <w:rtl w:val="0"/>
          <w:lang w:val="en-US"/>
        </w:rPr>
        <w:t>eriods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n-US"/>
        </w:rPr>
        <w:t xml:space="preserve"> S</w:t>
      </w:r>
      <w:r>
        <w:rPr>
          <w:rtl w:val="0"/>
          <w:lang w:val="en-US"/>
        </w:rPr>
        <w:t>erum</w:t>
      </w:r>
      <w:r>
        <w:rPr>
          <w:rtl w:val="0"/>
          <w:lang w:val="en-US"/>
        </w:rPr>
        <w:t xml:space="preserve"> S</w:t>
      </w:r>
      <w:r>
        <w:rPr>
          <w:rtl w:val="0"/>
          <w:lang w:val="en-US"/>
        </w:rPr>
        <w:t xml:space="preserve">amples on Common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iochemical</w:t>
      </w:r>
      <w:r>
        <w:rPr>
          <w:rtl w:val="0"/>
          <w:lang w:val="en-US"/>
        </w:rPr>
        <w:t xml:space="preserve"> T</w:t>
      </w:r>
      <w:r>
        <w:rPr>
          <w:rtl w:val="0"/>
          <w:lang w:val="en-US"/>
        </w:rPr>
        <w:t xml:space="preserve">ests. </w:t>
      </w:r>
      <w:r>
        <w:rPr>
          <w:rtl w:val="0"/>
          <w:lang w:val="en-US"/>
        </w:rPr>
        <w:t>Conference: III.International Scientific Congress of Pure,Appliedand Technological Sciences</w:t>
      </w:r>
      <w:r>
        <w:rPr>
          <w:rtl w:val="0"/>
          <w:lang w:val="en-US"/>
        </w:rPr>
        <w:t xml:space="preserve"> .</w:t>
      </w:r>
      <w:r>
        <w:rPr>
          <w:rtl w:val="0"/>
        </w:rPr>
        <w:t xml:space="preserve"> DOI: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"http://dx.doi.org/10.47832/MinarCongress3-6"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10.47832/MinarCongress3-6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efault"/>
      </w:pPr>
    </w:p>
    <w:p>
      <w:pPr>
        <w:pStyle w:val="Defaul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</w:t>
      </w:r>
      <w:r>
        <w:rPr>
          <w:b w:val="1"/>
          <w:bCs w:val="1"/>
          <w:sz w:val="22"/>
          <w:szCs w:val="22"/>
          <w:rtl w:val="0"/>
          <w:lang w:val="en-US"/>
        </w:rPr>
        <w:t>ROFFESSIONAL</w:t>
      </w:r>
      <w:r>
        <w:rPr>
          <w:b w:val="1"/>
          <w:bCs w:val="1"/>
          <w:sz w:val="28"/>
          <w:szCs w:val="28"/>
          <w:rtl w:val="0"/>
          <w:lang w:val="en-US"/>
        </w:rPr>
        <w:t xml:space="preserve"> D</w:t>
      </w:r>
      <w:r>
        <w:rPr>
          <w:b w:val="1"/>
          <w:bCs w:val="1"/>
          <w:sz w:val="22"/>
          <w:szCs w:val="22"/>
          <w:rtl w:val="0"/>
          <w:lang w:val="en-US"/>
        </w:rPr>
        <w:t>EVELOPMENT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aramond" w:hAnsi="Garamond"/>
          <w:rtl w:val="0"/>
          <w:lang w:val="en-US"/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Conferences.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aramond" w:hAnsi="Garamond"/>
          <w:rtl w:val="0"/>
          <w:lang w:val="en-US"/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Participated in 5</w:t>
      </w:r>
      <w:r>
        <w:rPr>
          <w:rFonts w:ascii="Garamond" w:hAnsi="Garamond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conference of the national center of hematology, 2015.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aramond" w:hAnsi="Garamond"/>
          <w:rtl w:val="0"/>
          <w:lang w:val="en-US"/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Participated in 6</w:t>
      </w:r>
      <w:r>
        <w:rPr>
          <w:rFonts w:ascii="Garamond" w:hAnsi="Garamond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conference of Iraqi society of haematology &amp; the national center of hematology, 2016.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aramond" w:hAnsi="Garamond"/>
          <w:rtl w:val="0"/>
          <w:lang w:val="en-US"/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Participated in 7</w:t>
      </w:r>
      <w:r>
        <w:rPr>
          <w:rFonts w:ascii="Garamond" w:hAnsi="Garamond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conference of Iraqi society of haematology &amp; the national center of hematology, 2017.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aramond" w:hAnsi="Garamond"/>
          <w:rtl w:val="0"/>
          <w:lang w:val="en-US"/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Participated in 8</w:t>
      </w:r>
      <w:r>
        <w:rPr>
          <w:rFonts w:ascii="Garamond" w:hAnsi="Garamond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conference of the national center of hematology, 2018.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aramond" w:hAnsi="Garamond"/>
          <w:rtl w:val="0"/>
          <w:lang w:val="en-US"/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Participated in 9</w:t>
      </w:r>
      <w:r>
        <w:rPr>
          <w:rFonts w:ascii="Garamond" w:hAnsi="Garamond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conference of the national center of hematology, 2019..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Garamond" w:cs="Garamond" w:hAnsi="Garamond" w:eastAsia="Garamond"/>
          <w:b w:val="1"/>
          <w:bCs w:val="1"/>
          <w:i w:val="1"/>
          <w:i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d6e3bc"/>
        <w:bidi w:val="1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1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36"/>
          <w:szCs w:val="36"/>
          <w:rtl w:val="1"/>
          <w:lang w:val="ar-SA" w:bidi="ar-SA"/>
        </w:rPr>
        <w:t>م</w:t>
      </w:r>
      <w:r>
        <w:rPr>
          <w:rFonts w:ascii="Times New Roman" w:hAnsi="Times New Roman"/>
          <w:b w:val="1"/>
          <w:bCs w:val="1"/>
          <w:sz w:val="36"/>
          <w:szCs w:val="36"/>
          <w:rtl w:val="1"/>
          <w:lang w:val="ar-SA" w:bidi="ar-SA"/>
        </w:rPr>
        <w:t>.</w:t>
      </w:r>
      <w:r>
        <w:rPr>
          <w:rFonts w:ascii="Arial Unicode MS" w:cs="Times New Roman" w:hAnsi="Arial Unicode MS" w:eastAsia="Arial Unicode MS" w:hint="cs"/>
          <w:b w:val="1"/>
          <w:bCs w:val="1"/>
          <w:sz w:val="36"/>
          <w:szCs w:val="36"/>
          <w:rtl w:val="1"/>
          <w:lang w:val="ar-SA" w:bidi="ar-SA"/>
        </w:rPr>
        <w:t>م</w:t>
      </w:r>
      <w:r>
        <w:rPr>
          <w:rFonts w:ascii="Times New Roman" w:hAnsi="Times New Roman"/>
          <w:b w:val="1"/>
          <w:bCs w:val="1"/>
          <w:sz w:val="36"/>
          <w:szCs w:val="36"/>
          <w:rtl w:val="1"/>
          <w:lang w:val="ar-SA" w:bidi="ar-SA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36"/>
          <w:szCs w:val="36"/>
          <w:rtl w:val="1"/>
          <w:lang w:val="ar-SA" w:bidi="ar-SA"/>
        </w:rPr>
        <w:t>هدى ابراهيم عبد اللطيف</w:t>
      </w:r>
    </w:p>
    <w:p>
      <w:pPr>
        <w:pStyle w:val="Body"/>
        <w:bidi w:val="1"/>
        <w:spacing w:after="0" w:line="240" w:lineRule="auto"/>
        <w:ind w:left="0" w:right="0" w:firstLine="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الجامعة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المستنصرية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المركز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الوطني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لبحوث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وعلاج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امراض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الدم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Mobile</w:t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 +9647</w:t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704378757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jc w:val="center"/>
        <w:rPr>
          <w:rFonts w:ascii="Garamond" w:cs="Garamond" w:hAnsi="Garamond" w:eastAsia="Garamond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</w:t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"mailto:huda_bio2000@uomustansiriyah.edu.iq"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huda_bio2000@uomustansiriyah.edu.iq</w:t>
      </w:r>
      <w:r>
        <w:rPr/>
        <w:fldChar w:fldCharType="end" w:fldLock="0"/>
      </w:r>
      <w:r>
        <w:rPr>
          <w:rFonts w:ascii="Garamond" w:hAnsi="Garamond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"mailto:huda_bio2000@yahoo.com"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huda_bio2000@yahoo.com</w:t>
      </w:r>
      <w:r>
        <w:rPr/>
        <w:fldChar w:fldCharType="end" w:fldLock="0"/>
      </w: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b w:val="1"/>
          <w:bCs w:val="1"/>
          <w:smallCaps w:val="1"/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smallCaps w:val="1"/>
          <w:rtl w:val="1"/>
          <w:lang w:val="ar-SA" w:bidi="ar-SA"/>
        </w:rPr>
        <w:t>ملخص تعريفي</w:t>
      </w:r>
      <w:r>
        <w:rPr>
          <w:rFonts w:ascii="Times New Roman" w:hAnsi="Times New Roman"/>
          <w:smallCaps w:val="1"/>
          <w:rtl w:val="1"/>
          <w:lang w:val="ar-SA" w:bidi="ar-SA"/>
        </w:rPr>
        <w:t>:</w:t>
      </w: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5"/>
        </w:numPr>
        <w:bidi w:val="1"/>
        <w:ind w:right="0"/>
        <w:jc w:val="left"/>
        <w:rPr>
          <w:rFonts w:ascii="Arial Unicode MS" w:cs="Garamond" w:hAnsi="Arial Unicode MS" w:eastAsia="Arial Unicode MS" w:hint="cs"/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>تدريسيية وباحثة في المركز الوطني لبحوث وعلاج امراض الدم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>.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smallCaps w:val="1"/>
          <w:rtl w:val="1"/>
        </w:rPr>
      </w:pPr>
      <w:r>
        <w:rPr>
          <w:smallCaps w:val="1"/>
          <w:rtl w:val="0"/>
          <w:lang w:val="en-US"/>
        </w:rPr>
        <w:t xml:space="preserve"> </w:t>
      </w:r>
      <w:r>
        <w:rPr>
          <w:rFonts w:ascii="Arial Unicode MS" w:cs="Times New Roman" w:hAnsi="Arial Unicode MS" w:eastAsia="Arial Unicode MS" w:hint="cs"/>
          <w:b w:val="1"/>
          <w:bCs w:val="1"/>
          <w:smallCaps w:val="1"/>
          <w:sz w:val="28"/>
          <w:szCs w:val="28"/>
          <w:rtl w:val="1"/>
          <w:lang w:val="ar-SA" w:bidi="ar-SA"/>
        </w:rPr>
        <w:t>الشهادات الدراسية</w:t>
      </w:r>
      <w:r>
        <w:rPr>
          <w:b w:val="1"/>
          <w:bCs w:val="1"/>
          <w:smallCaps w:val="1"/>
          <w:sz w:val="28"/>
          <w:szCs w:val="28"/>
          <w:rtl w:val="0"/>
          <w:lang w:val="en-US"/>
        </w:rPr>
        <w:t>:</w:t>
      </w:r>
    </w:p>
    <w:p>
      <w:pPr>
        <w:pStyle w:val="Default"/>
      </w:pPr>
    </w:p>
    <w:p>
      <w:pPr>
        <w:pStyle w:val="Default"/>
        <w:numPr>
          <w:ilvl w:val="0"/>
          <w:numId w:val="5"/>
        </w:numPr>
        <w:bidi w:val="1"/>
        <w:ind w:right="0"/>
        <w:jc w:val="left"/>
        <w:rPr>
          <w:rFonts w:ascii="Arial Unicode MS" w:cs="Garamond" w:hAnsi="Arial Unicode MS" w:eastAsia="Arial Unicode MS" w:hint="cs"/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 xml:space="preserve">ماجستير احياء مجهرية 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 xml:space="preserve">/ </w:t>
      </w: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>كلية الطب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 xml:space="preserve">/ </w:t>
      </w: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 xml:space="preserve">جامعة بغداد 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>/201</w:t>
      </w:r>
      <w:r>
        <w:rPr>
          <w:rFonts w:ascii="Times New Roman" w:hAnsi="Times New Roman"/>
          <w:sz w:val="22"/>
          <w:szCs w:val="22"/>
          <w:rtl w:val="0"/>
          <w:lang w:val="ar-SA" w:bidi="ar-SA"/>
        </w:rPr>
        <w:t xml:space="preserve">1  </w:t>
      </w:r>
    </w:p>
    <w:p>
      <w:pPr>
        <w:pStyle w:val="Default"/>
        <w:numPr>
          <w:ilvl w:val="0"/>
          <w:numId w:val="5"/>
        </w:numPr>
        <w:bidi w:val="1"/>
        <w:ind w:right="0"/>
        <w:jc w:val="left"/>
        <w:rPr>
          <w:rFonts w:ascii="Arial Unicode MS" w:cs="Garamond" w:hAnsi="Arial Unicode MS" w:eastAsia="Arial Unicode MS" w:hint="cs"/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 xml:space="preserve">بكلوريوس احياء مجهرية 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 xml:space="preserve">/ </w:t>
      </w: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>كلية العلوم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 xml:space="preserve">/ </w:t>
      </w:r>
      <w:r>
        <w:rPr>
          <w:rFonts w:ascii="Arial Unicode MS" w:cs="Times New Roman" w:hAnsi="Arial Unicode MS" w:eastAsia="Arial Unicode MS" w:hint="cs"/>
          <w:sz w:val="22"/>
          <w:szCs w:val="22"/>
          <w:rtl w:val="1"/>
          <w:lang w:val="ar-SA" w:bidi="ar-SA"/>
        </w:rPr>
        <w:t xml:space="preserve">الجامعة المستنصرية </w:t>
      </w:r>
      <w:r>
        <w:rPr>
          <w:rFonts w:ascii="Times New Roman" w:hAnsi="Times New Roman"/>
          <w:sz w:val="22"/>
          <w:szCs w:val="22"/>
          <w:rtl w:val="1"/>
          <w:lang w:val="ar-SA" w:bidi="ar-SA"/>
        </w:rPr>
        <w:t>/2003</w:t>
      </w:r>
    </w:p>
    <w:p>
      <w:pPr>
        <w:pStyle w:val="Default"/>
        <w:ind w:left="720" w:firstLine="0"/>
        <w:rPr>
          <w:sz w:val="22"/>
          <w:szCs w:val="22"/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smallCaps w:val="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الجوائز والتكريم الأكاديمي</w:t>
      </w:r>
    </w:p>
    <w:p>
      <w:pPr>
        <w:pStyle w:val="Default"/>
        <w:ind w:left="720" w:firstLine="0"/>
        <w:rPr>
          <w:sz w:val="22"/>
          <w:szCs w:val="22"/>
        </w:rPr>
      </w:pPr>
    </w:p>
    <w:p>
      <w:pPr>
        <w:pStyle w:val="Default"/>
        <w:numPr>
          <w:ilvl w:val="0"/>
          <w:numId w:val="5"/>
        </w:numPr>
        <w:bidi w:val="1"/>
        <w:ind w:right="0"/>
        <w:jc w:val="left"/>
        <w:rPr>
          <w:sz w:val="22"/>
          <w:szCs w:val="22"/>
          <w:rtl w:val="1"/>
          <w:lang w:val="en-US"/>
        </w:rPr>
      </w:pPr>
      <w:r>
        <w:rPr>
          <w:sz w:val="22"/>
          <w:szCs w:val="22"/>
          <w:rtl w:val="0"/>
          <w:lang w:val="en-US"/>
        </w:rPr>
        <w:t>#1:</w:t>
      </w:r>
    </w:p>
    <w:p>
      <w:pPr>
        <w:pStyle w:val="Default"/>
        <w:numPr>
          <w:ilvl w:val="0"/>
          <w:numId w:val="5"/>
        </w:numPr>
        <w:bidi w:val="1"/>
        <w:ind w:right="0"/>
        <w:jc w:val="left"/>
        <w:rPr>
          <w:sz w:val="22"/>
          <w:szCs w:val="22"/>
          <w:rtl w:val="1"/>
          <w:lang w:val="en-US"/>
        </w:rPr>
      </w:pPr>
      <w:r>
        <w:rPr>
          <w:sz w:val="22"/>
          <w:szCs w:val="22"/>
          <w:rtl w:val="0"/>
          <w:lang w:val="en-US"/>
        </w:rPr>
        <w:t>#2: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الخبرة الأكاديمية والتدريس</w:t>
      </w:r>
      <w:r>
        <w:rPr>
          <w:rFonts w:ascii="Times New Roman" w:hAnsi="Times New Roman"/>
          <w:rtl w:val="1"/>
          <w:lang w:val="ar-SA" w:bidi="ar-SA"/>
        </w:rPr>
        <w:t>: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numPr>
          <w:ilvl w:val="0"/>
          <w:numId w:val="5"/>
        </w:numPr>
        <w:bidi w:val="1"/>
        <w:ind w:right="0"/>
        <w:jc w:val="left"/>
        <w:rPr>
          <w:rFonts w:ascii="Arial Unicode MS" w:cs="Garamond" w:hAnsi="Arial Unicode MS" w:eastAsia="Arial Unicode MS" w:hint="cs"/>
          <w:sz w:val="22"/>
          <w:szCs w:val="22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تدريس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مختبر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الأحياء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المجهرية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في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كلية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الطب</w:t>
      </w:r>
      <w:r>
        <w:rPr>
          <w:sz w:val="22"/>
          <w:szCs w:val="22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الجامعة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المستنصرية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لمدة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يوم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واحد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بالأسبوع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للدراسات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الأولية</w:t>
      </w:r>
      <w:r>
        <w:rPr>
          <w:sz w:val="22"/>
          <w:szCs w:val="22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المرحلة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الثالثة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لسنوات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الدراسية</w:t>
      </w:r>
      <w:r>
        <w:rPr>
          <w:sz w:val="22"/>
          <w:szCs w:val="22"/>
          <w:rtl w:val="1"/>
          <w:lang w:val="ar-SA" w:bidi="ar-SA"/>
        </w:rPr>
        <w:t xml:space="preserve"> </w:t>
      </w:r>
      <w:r>
        <w:rPr>
          <w:sz w:val="22"/>
          <w:szCs w:val="22"/>
          <w:rtl w:val="1"/>
          <w:lang w:val="ar-SA" w:bidi="ar-SA"/>
        </w:rPr>
        <w:t>(2016,2017,2022).</w:t>
      </w:r>
    </w:p>
    <w:p>
      <w:pPr>
        <w:pStyle w:val="Default"/>
        <w:bidi w:val="1"/>
        <w:ind w:left="360" w:right="0" w:firstLine="0"/>
        <w:jc w:val="left"/>
        <w:rPr>
          <w:sz w:val="22"/>
          <w:szCs w:val="22"/>
          <w:rtl w:val="1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المقررات الدراسية التي تم تدريسها</w:t>
      </w:r>
      <w:r>
        <w:rPr>
          <w:rFonts w:ascii="Times New Roman" w:hAnsi="Times New Roman"/>
          <w:b w:val="1"/>
          <w:bCs w:val="1"/>
          <w:sz w:val="28"/>
          <w:szCs w:val="28"/>
          <w:rtl w:val="1"/>
          <w:lang w:val="ar-SA" w:bidi="ar-SA"/>
        </w:rPr>
        <w:t>:</w:t>
      </w:r>
    </w:p>
    <w:p>
      <w:pPr>
        <w:pStyle w:val="Body"/>
        <w:rPr>
          <w:sz w:val="8"/>
          <w:szCs w:val="8"/>
        </w:rPr>
      </w:pPr>
    </w:p>
    <w:tbl>
      <w:tblPr>
        <w:tblW w:w="8930" w:type="dxa"/>
        <w:jc w:val="lef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4536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b w:val="1"/>
                <w:bCs w:val="1"/>
                <w:sz w:val="22"/>
                <w:szCs w:val="22"/>
                <w:shd w:val="nil" w:color="auto" w:fill="auto"/>
                <w:rtl w:val="1"/>
                <w:lang w:val="ar-SA" w:bidi="ar-SA"/>
              </w:rPr>
              <w:t>الدراسات الأولية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b w:val="1"/>
                <w:bCs w:val="1"/>
                <w:sz w:val="22"/>
                <w:szCs w:val="22"/>
                <w:shd w:val="nil" w:color="auto" w:fill="auto"/>
                <w:rtl w:val="1"/>
                <w:lang w:val="ar-SA" w:bidi="ar-SA"/>
              </w:rPr>
              <w:t>الدراسات العليا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الأحياء المجهرية الطبية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817" w:hanging="817"/>
        <w:rPr>
          <w:sz w:val="8"/>
          <w:szCs w:val="8"/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الأنتساب المهني او الجمعيات</w:t>
      </w:r>
      <w:r>
        <w:rPr>
          <w:rFonts w:ascii="Times New Roman" w:hAnsi="Times New Roman"/>
          <w:b w:val="1"/>
          <w:bCs w:val="1"/>
          <w:sz w:val="28"/>
          <w:szCs w:val="28"/>
          <w:rtl w:val="1"/>
          <w:lang w:val="ar-SA" w:bidi="ar-SA"/>
        </w:rPr>
        <w:t>: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لجان</w:t>
      </w:r>
    </w:p>
    <w:p>
      <w:pPr>
        <w:pStyle w:val="List Paragraph"/>
        <w:numPr>
          <w:ilvl w:val="0"/>
          <w:numId w:val="7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sz w:val="22"/>
          <w:szCs w:val="22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رئيس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Arial Unicode MS" w:cs="Times New Roman" w:hAnsi="Arial Unicode MS" w:eastAsia="Arial Unicode MS" w:hint="cs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الخ</w:t>
      </w:r>
    </w:p>
    <w:p>
      <w:pPr>
        <w:pStyle w:val="Body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المنشورات العلمية</w:t>
      </w:r>
    </w:p>
    <w:p>
      <w:pPr>
        <w:pStyle w:val="List Paragraph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بحوث علمية</w:t>
      </w: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Abdul-Lateef HI, AL-Najar SA, Abul Majeed NG. The levels of IFN- , IL-12 And Testosterone Hormone in Persons with Asymptomatic Toxoplasmosis. JFacMedBagdad 2012. 19];54(1):79-82.</w:t>
      </w:r>
    </w:p>
    <w:p>
      <w:pPr>
        <w:pStyle w:val="List Paragraph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en-US"/>
        </w:rPr>
        <w:t xml:space="preserve">Salman AF, Abdul-Lateef HI, Khazeem M.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ffect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n-US"/>
        </w:rPr>
        <w:t xml:space="preserve"> D</w:t>
      </w:r>
      <w:r>
        <w:rPr>
          <w:rtl w:val="0"/>
          <w:lang w:val="en-US"/>
        </w:rPr>
        <w:t>ifferent</w:t>
      </w:r>
      <w:r>
        <w:rPr>
          <w:rtl w:val="0"/>
          <w:lang w:val="en-US"/>
        </w:rPr>
        <w:t xml:space="preserve"> F</w:t>
      </w:r>
      <w:r>
        <w:rPr>
          <w:rtl w:val="0"/>
          <w:lang w:val="en-US"/>
        </w:rPr>
        <w:t>reezing</w:t>
      </w:r>
      <w:r>
        <w:rPr>
          <w:rtl w:val="0"/>
          <w:lang w:val="en-US"/>
        </w:rPr>
        <w:t xml:space="preserve"> P</w:t>
      </w:r>
      <w:r>
        <w:rPr>
          <w:rtl w:val="0"/>
          <w:lang w:val="en-US"/>
        </w:rPr>
        <w:t>eriods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n-US"/>
        </w:rPr>
        <w:t xml:space="preserve"> S</w:t>
      </w:r>
      <w:r>
        <w:rPr>
          <w:rtl w:val="0"/>
          <w:lang w:val="en-US"/>
        </w:rPr>
        <w:t>erum</w:t>
      </w:r>
      <w:r>
        <w:rPr>
          <w:rtl w:val="0"/>
          <w:lang w:val="en-US"/>
        </w:rPr>
        <w:t xml:space="preserve"> S</w:t>
      </w:r>
      <w:r>
        <w:rPr>
          <w:rtl w:val="0"/>
          <w:lang w:val="en-US"/>
        </w:rPr>
        <w:t xml:space="preserve">amples on  Common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iochemical</w:t>
      </w:r>
      <w:r>
        <w:rPr>
          <w:rtl w:val="0"/>
          <w:lang w:val="en-US"/>
        </w:rPr>
        <w:t xml:space="preserve"> T</w:t>
      </w:r>
      <w:r>
        <w:rPr>
          <w:rtl w:val="0"/>
          <w:lang w:val="en-US"/>
        </w:rPr>
        <w:t xml:space="preserve">ests. </w:t>
      </w:r>
      <w:r>
        <w:rPr>
          <w:rtl w:val="0"/>
          <w:lang w:val="en-US"/>
        </w:rPr>
        <w:t>Conference: III.International Scientific Congress of Pure,Appliedand Technological Sciences</w:t>
      </w:r>
      <w:r>
        <w:rPr>
          <w:rtl w:val="0"/>
          <w:lang w:val="en-US"/>
        </w:rPr>
        <w:t xml:space="preserve"> .</w:t>
      </w:r>
      <w:r>
        <w:rPr>
          <w:rtl w:val="0"/>
        </w:rPr>
        <w:t xml:space="preserve"> DOI: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"http://dx.doi.org/10.47832/MinarCongress3-6"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10.47832/MinarCongress3-6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List Paragraph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 w:line="240" w:lineRule="auto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nil"/>
          <w:left w:val="nil"/>
          <w:bottom w:val="dashed" w:color="000000" w:sz="24" w:space="0" w:shadow="0" w:frame="0"/>
          <w:right w:val="nil"/>
        </w:pBdr>
        <w:bidi w:val="1"/>
        <w:ind w:left="0" w:right="0" w:firstLine="0"/>
        <w:jc w:val="left"/>
        <w:rPr>
          <w:b w:val="1"/>
          <w:bCs w:val="1"/>
          <w:sz w:val="28"/>
          <w:szCs w:val="28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تطوير المهارات</w:t>
      </w:r>
      <w:r>
        <w:rPr>
          <w:rFonts w:ascii="Times New Roman" w:hAnsi="Times New Roman"/>
          <w:b w:val="1"/>
          <w:bCs w:val="1"/>
          <w:sz w:val="28"/>
          <w:szCs w:val="28"/>
          <w:rtl w:val="1"/>
          <w:lang w:val="ar-SA" w:bidi="ar-SA"/>
        </w:rPr>
        <w:t>:</w:t>
      </w:r>
    </w:p>
    <w:p>
      <w:pPr>
        <w:pStyle w:val="Body"/>
        <w:spacing w:after="0" w:line="240" w:lineRule="auto"/>
        <w:ind w:left="360" w:firstLine="0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1"/>
        <w:spacing w:after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المؤتمرات</w:t>
      </w:r>
      <w:r>
        <w:rPr>
          <w:rFonts w:ascii="Times New Roman" w:hAnsi="Times New Roman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المشاركة بالمؤتمر السنوي الخامس للمركز الوطني لبحوث وعلاج امراض الدم</w:t>
      </w:r>
      <w:r>
        <w:rPr>
          <w:rFonts w:ascii="Times New Roman" w:hAnsi="Times New Roman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, 2015.</w:t>
      </w: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المشاركة بالمؤتمر السنوي السادس لجمعية امراض الدم العراقية  والمركز الوطني لبحوث وعلاج امراض الدم</w:t>
      </w:r>
      <w:r>
        <w:rPr>
          <w:rFonts w:ascii="Times New Roman" w:hAnsi="Times New Roman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, 2016.</w:t>
      </w: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المشاركة بالمؤتمر السنوي السابع لجمعية امراض الدم العراقية  والمركز الوطني لبحوث وعلاج امراض الدم</w:t>
      </w:r>
      <w:r>
        <w:rPr>
          <w:rFonts w:ascii="Times New Roman" w:hAnsi="Times New Roman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, 2017.</w:t>
      </w: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المشاركة بالمؤتمر السنوي الثامن للمركز الوطني لبحوث وعلاج امراض الدم</w:t>
      </w:r>
      <w:r>
        <w:rPr>
          <w:rFonts w:ascii="Times New Roman" w:hAnsi="Times New Roman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, 2018.</w:t>
      </w:r>
    </w:p>
    <w:p>
      <w:pPr>
        <w:pStyle w:val="List Paragraph"/>
        <w:numPr>
          <w:ilvl w:val="0"/>
          <w:numId w:val="6"/>
        </w:numPr>
        <w:bidi w:val="1"/>
        <w:spacing w:after="0" w:line="240" w:lineRule="auto"/>
        <w:ind w:right="720"/>
        <w:jc w:val="left"/>
        <w:rPr>
          <w:rFonts w:ascii="Arial Unicode MS" w:cs="Garamond" w:hAnsi="Arial Unicode MS" w:eastAsia="Arial Unicode MS" w:hint="cs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المشاركة بالمؤتمر السنوي التاسع للمركز الوطني لبحوث وعلاج امراض الدم</w:t>
      </w:r>
      <w:r>
        <w:rPr>
          <w:rFonts w:ascii="Times New Roman" w:hAnsi="Times New Roman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, 2019.</w:t>
      </w:r>
    </w:p>
    <w:p>
      <w:pPr>
        <w:pStyle w:val="List Paragraph"/>
        <w:bidi w:val="1"/>
        <w:spacing w:after="0" w:line="240" w:lineRule="auto"/>
        <w:ind w:left="720" w:right="720" w:firstLine="0"/>
        <w:jc w:val="left"/>
        <w:rPr>
          <w:rtl w:val="1"/>
        </w:rPr>
      </w:pPr>
      <w:r>
        <w:rPr>
          <w:rFonts w:ascii="Garamond" w:cs="Garamond" w:hAnsi="Garamond" w:eastAsia="Garamond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Garamond" w:cs="Garamond" w:hAnsi="Garamond" w:eastAsia="Garamond"/>
      <w:i w:val="1"/>
      <w:iCs w:val="1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1">
    <w:name w:val="Hyperlink.1"/>
    <w:basedOn w:val="Link"/>
    <w:next w:val="Hyperlink.1"/>
    <w:rPr>
      <w:outline w:val="0"/>
      <w:color w:val="000000"/>
      <w:u w:val="no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