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386263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Kais Ja</w:t>
      </w:r>
      <w:r w:rsidR="00842FCA"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>il Latif</w:t>
      </w:r>
    </w:p>
    <w:p w:rsidR="0022715F" w:rsidRPr="0022715F" w:rsidRDefault="00C2379C" w:rsidP="00C2379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Al-</w:t>
      </w:r>
      <w:r w:rsidR="0022715F"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Science</w:t>
      </w:r>
    </w:p>
    <w:p w:rsidR="0022715F" w:rsidRDefault="0022715F" w:rsidP="00C2379C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C2379C" w:rsidRPr="005B6405">
          <w:rPr>
            <w:rStyle w:val="Hyperlink"/>
            <w:rFonts w:ascii="Garamond" w:hAnsi="Garamond" w:cs="Garamond"/>
            <w:i/>
            <w:iCs/>
          </w:rPr>
          <w:t>meteor10@ymail.com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86263" w:rsidRPr="00386263" w:rsidRDefault="00386263" w:rsidP="00D60EA5">
      <w:pPr>
        <w:pStyle w:val="Default"/>
        <w:numPr>
          <w:ilvl w:val="0"/>
          <w:numId w:val="2"/>
        </w:numPr>
      </w:pPr>
      <w:r w:rsidRPr="00386263">
        <w:rPr>
          <w:sz w:val="22"/>
          <w:szCs w:val="22"/>
        </w:rPr>
        <w:t>Professor of atmospheric sciences with over 25 years’ experience in teaching and conducting research in atmospheric physics and dynamics, atmospheric remote sensing, and climate</w:t>
      </w:r>
      <w:r w:rsidR="004166DA">
        <w:rPr>
          <w:sz w:val="22"/>
          <w:szCs w:val="22"/>
        </w:rPr>
        <w:t xml:space="preserve"> modeling</w:t>
      </w:r>
      <w:r w:rsidRPr="0038626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Current research interest focuses on polarimetric weather radar, satellite meteorology, atmospheric effects </w:t>
      </w:r>
      <w:r w:rsidR="006D21EC">
        <w:rPr>
          <w:sz w:val="22"/>
          <w:szCs w:val="22"/>
        </w:rPr>
        <w:t xml:space="preserve">on </w:t>
      </w:r>
      <w:r>
        <w:rPr>
          <w:sz w:val="22"/>
          <w:szCs w:val="22"/>
        </w:rPr>
        <w:t>microwave communications.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0950C2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Ph.D. :</w:t>
      </w:r>
      <w:proofErr w:type="gramEnd"/>
      <w:r w:rsidR="00A41E2F">
        <w:rPr>
          <w:sz w:val="22"/>
          <w:szCs w:val="22"/>
        </w:rPr>
        <w:t xml:space="preserve"> Meteorology, University of Alberta, Edmonton, Canada (1989)</w:t>
      </w:r>
    </w:p>
    <w:p w:rsidR="0022715F" w:rsidRDefault="00AB759F" w:rsidP="000950C2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:</w:t>
      </w:r>
      <w:proofErr w:type="gramEnd"/>
      <w:r w:rsidR="00A41E2F">
        <w:rPr>
          <w:sz w:val="22"/>
          <w:szCs w:val="22"/>
        </w:rPr>
        <w:t xml:space="preserve"> Meteorology, McGill University, Montreal, Canada (1984)</w:t>
      </w:r>
    </w:p>
    <w:p w:rsidR="00A41E2F" w:rsidRDefault="00A41E2F" w:rsidP="000950C2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 w:rsidRPr="00A41E2F">
        <w:rPr>
          <w:sz w:val="22"/>
          <w:szCs w:val="22"/>
        </w:rPr>
        <w:t xml:space="preserve">M.Sc.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Physics, Al-Mustansiriyah </w:t>
      </w:r>
      <w:r w:rsidR="006D21EC">
        <w:rPr>
          <w:sz w:val="22"/>
          <w:szCs w:val="22"/>
        </w:rPr>
        <w:t>University, Baghdad, Iraq (1980)</w:t>
      </w:r>
    </w:p>
    <w:p w:rsidR="00AB759F" w:rsidRDefault="00AB759F" w:rsidP="006D21EC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B.Sc. :</w:t>
      </w:r>
      <w:proofErr w:type="gramEnd"/>
      <w:r w:rsidR="00A41E2F">
        <w:rPr>
          <w:sz w:val="22"/>
          <w:szCs w:val="22"/>
        </w:rPr>
        <w:t xml:space="preserve"> Physics, Al-Mustansiriyah University, Baghdad, Iraq (1977)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7450DE" w:rsidP="007450D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Many Minster Certificates of Appreciation for outstanding academic performance</w:t>
      </w:r>
    </w:p>
    <w:p w:rsidR="00AB759F" w:rsidRDefault="007450DE" w:rsidP="007450D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Numerous Dean Letters of Acknowledgement </w:t>
      </w:r>
      <w:r w:rsidR="00D60EA5">
        <w:rPr>
          <w:sz w:val="22"/>
          <w:szCs w:val="22"/>
        </w:rPr>
        <w:t>and Appreciation</w:t>
      </w:r>
      <w:r>
        <w:rPr>
          <w:sz w:val="22"/>
          <w:szCs w:val="22"/>
        </w:rPr>
        <w:t xml:space="preserve"> for research and teaching activities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0950C2" w:rsidRDefault="000950C2" w:rsidP="000950C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More than 25 years’ of teaching academic B. Sc. courses in atmospheric sciences, physics, and computer science.</w:t>
      </w:r>
    </w:p>
    <w:p w:rsidR="000950C2" w:rsidRPr="000950C2" w:rsidRDefault="000950C2" w:rsidP="000950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0950C2">
        <w:rPr>
          <w:sz w:val="22"/>
          <w:szCs w:val="22"/>
        </w:rPr>
        <w:t xml:space="preserve">More than </w:t>
      </w:r>
      <w:r>
        <w:rPr>
          <w:sz w:val="22"/>
          <w:szCs w:val="22"/>
        </w:rPr>
        <w:t>25 years’ of teaching academic M</w:t>
      </w:r>
      <w:r w:rsidRPr="000950C2">
        <w:rPr>
          <w:sz w:val="22"/>
          <w:szCs w:val="22"/>
        </w:rPr>
        <w:t xml:space="preserve">. Sc. </w:t>
      </w:r>
      <w:r>
        <w:rPr>
          <w:sz w:val="22"/>
          <w:szCs w:val="22"/>
        </w:rPr>
        <w:t xml:space="preserve">And Ph. D. </w:t>
      </w:r>
      <w:r w:rsidRPr="000950C2">
        <w:rPr>
          <w:sz w:val="22"/>
          <w:szCs w:val="22"/>
        </w:rPr>
        <w:t>courses in atmospheric sciences</w:t>
      </w:r>
      <w:r>
        <w:rPr>
          <w:sz w:val="22"/>
          <w:szCs w:val="22"/>
        </w:rPr>
        <w:t xml:space="preserve"> and physics.</w:t>
      </w:r>
    </w:p>
    <w:p w:rsidR="00AB759F" w:rsidRDefault="000950C2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Taught many continuing education courses. </w:t>
      </w:r>
    </w:p>
    <w:p w:rsidR="00806A92" w:rsidRDefault="00806A92" w:rsidP="00806A9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806A92">
        <w:rPr>
          <w:sz w:val="22"/>
          <w:szCs w:val="22"/>
        </w:rPr>
        <w:t>upervised and co-supervised over 35 M. Sc. and more than 15 Ph. D. theses.</w:t>
      </w:r>
    </w:p>
    <w:p w:rsidR="006D21EC" w:rsidRDefault="00806A92" w:rsidP="006D21E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Participated in numerous examining committees of M. Sc. </w:t>
      </w:r>
      <w:r w:rsidR="006D21EC">
        <w:rPr>
          <w:sz w:val="22"/>
          <w:szCs w:val="22"/>
        </w:rPr>
        <w:t>and Ph. D. thesis defenses</w:t>
      </w:r>
      <w:r>
        <w:rPr>
          <w:sz w:val="22"/>
          <w:szCs w:val="22"/>
        </w:rPr>
        <w:t>.</w:t>
      </w:r>
    </w:p>
    <w:p w:rsidR="00806A92" w:rsidRPr="00806A92" w:rsidRDefault="00806A92" w:rsidP="006D21EC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Atomic Physics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Electromagnetic Theory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Linear Algebra</w:t>
            </w:r>
          </w:p>
          <w:p w:rsidR="000B1312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Calculus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Analytical Mechanics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Programming and Numerical Analysis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Dynamic Meteorology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Physical Meteorology</w:t>
            </w:r>
          </w:p>
          <w:p w:rsidR="00A41E2F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Remote Sensing of the Atmosphere</w:t>
            </w:r>
          </w:p>
          <w:p w:rsidR="006D21EC" w:rsidRPr="00806A92" w:rsidRDefault="006D21EC" w:rsidP="0022715F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Image Processing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Cloud Physics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Object Oriented Programming</w:t>
            </w:r>
          </w:p>
          <w:p w:rsidR="00A41E2F" w:rsidRPr="00806A92" w:rsidRDefault="00A41E2F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Image processing</w:t>
            </w:r>
          </w:p>
          <w:p w:rsidR="00A41E2F" w:rsidRDefault="00A41E2F" w:rsidP="00B82F5C">
            <w:r w:rsidRPr="00806A92">
              <w:rPr>
                <w:rFonts w:ascii="Garamond" w:hAnsi="Garamond" w:cs="Garamond"/>
                <w:color w:val="000000"/>
              </w:rPr>
              <w:t>Modeling and Simulation</w:t>
            </w:r>
          </w:p>
        </w:tc>
        <w:tc>
          <w:tcPr>
            <w:tcW w:w="4536" w:type="dxa"/>
          </w:tcPr>
          <w:p w:rsidR="000B1312" w:rsidRPr="00806A92" w:rsidRDefault="00B82F5C" w:rsidP="0022715F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Advanced Atmospheric Dynamics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Advanced Physical Meteorology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Radar Meteorology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Satellite Meteorology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Advanced Atmospheric Radiation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Computational Atmospheric Science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Climate Dynamics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Climate Modeling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  <w:r w:rsidRPr="00806A92">
              <w:rPr>
                <w:rFonts w:ascii="Garamond" w:hAnsi="Garamond" w:cs="Garamond"/>
                <w:color w:val="000000"/>
              </w:rPr>
              <w:t>Selected Topics in Atmospheric Science</w:t>
            </w: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</w:p>
          <w:p w:rsidR="00B82F5C" w:rsidRPr="00806A92" w:rsidRDefault="00B82F5C" w:rsidP="00B82F5C">
            <w:pPr>
              <w:rPr>
                <w:rFonts w:ascii="Garamond" w:hAnsi="Garamond" w:cs="Garamond"/>
                <w:color w:val="000000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450DE" w:rsidRDefault="007450DE" w:rsidP="007450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1992-1995: Reader the</w:t>
      </w:r>
      <w:r w:rsidR="00B73F00" w:rsidRPr="00B73F00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Department of Atmospheric Sciences, College of Science, Al-Mustansiriyah University</w:t>
      </w:r>
    </w:p>
    <w:p w:rsidR="00B73F00" w:rsidRDefault="007450DE" w:rsidP="007450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1996-1998: Head of the</w:t>
      </w:r>
      <w:r w:rsidR="00B73F00" w:rsidRPr="00B73F00">
        <w:rPr>
          <w:rFonts w:ascii="Garamond" w:hAnsi="Garamond" w:cs="Garamond"/>
          <w:color w:val="000000"/>
        </w:rPr>
        <w:t xml:space="preserve"> </w:t>
      </w:r>
      <w:r w:rsidRPr="007450DE">
        <w:rPr>
          <w:rFonts w:ascii="Garamond" w:hAnsi="Garamond" w:cs="Garamond"/>
          <w:color w:val="000000"/>
        </w:rPr>
        <w:t>Department of Atmospheric Sciences</w:t>
      </w:r>
      <w:r>
        <w:rPr>
          <w:rFonts w:ascii="Garamond" w:hAnsi="Garamond" w:cs="Garamond"/>
          <w:color w:val="000000"/>
        </w:rPr>
        <w:t xml:space="preserve">, </w:t>
      </w:r>
      <w:r w:rsidRPr="007450DE">
        <w:rPr>
          <w:rFonts w:ascii="Garamond" w:hAnsi="Garamond" w:cs="Garamond"/>
          <w:color w:val="000000"/>
        </w:rPr>
        <w:t>College of Science, Al-Mustansiriyah University</w:t>
      </w:r>
    </w:p>
    <w:p w:rsidR="007450DE" w:rsidRDefault="007450DE" w:rsidP="007450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1999-2003: Head </w:t>
      </w:r>
      <w:r w:rsidRPr="007450DE">
        <w:rPr>
          <w:rFonts w:ascii="Garamond" w:hAnsi="Garamond" w:cs="Garamond"/>
          <w:color w:val="000000"/>
        </w:rPr>
        <w:t xml:space="preserve">of the Department of </w:t>
      </w:r>
      <w:r>
        <w:rPr>
          <w:rFonts w:ascii="Garamond" w:hAnsi="Garamond" w:cs="Garamond"/>
          <w:color w:val="000000"/>
        </w:rPr>
        <w:t>Computer</w:t>
      </w:r>
      <w:r w:rsidRPr="007450DE">
        <w:rPr>
          <w:rFonts w:ascii="Garamond" w:hAnsi="Garamond" w:cs="Garamond"/>
          <w:color w:val="000000"/>
        </w:rPr>
        <w:t xml:space="preserve"> Science, College of Science, Al-Mustansiriyah University</w:t>
      </w:r>
    </w:p>
    <w:p w:rsid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2005-2013: Coordinator of Postgraduate Studies, </w:t>
      </w:r>
      <w:r w:rsidRPr="007450DE">
        <w:rPr>
          <w:rFonts w:ascii="Garamond" w:hAnsi="Garamond" w:cs="Garamond"/>
          <w:color w:val="000000"/>
        </w:rPr>
        <w:t>Department of Atmospheric Sciences</w:t>
      </w:r>
      <w:r>
        <w:rPr>
          <w:rFonts w:ascii="Garamond" w:hAnsi="Garamond" w:cs="Garamond"/>
          <w:color w:val="000000"/>
        </w:rPr>
        <w:t xml:space="preserve">, </w:t>
      </w:r>
      <w:r w:rsidRPr="007450DE">
        <w:rPr>
          <w:rFonts w:ascii="Garamond" w:hAnsi="Garamond" w:cs="Garamond"/>
          <w:color w:val="000000"/>
        </w:rPr>
        <w:t>College of Science, Al-Mustansiriyah University</w:t>
      </w:r>
    </w:p>
    <w:p w:rsidR="00806A92" w:rsidRDefault="00806A92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06A92" w:rsidP="00806A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06A92">
        <w:rPr>
          <w:rFonts w:ascii="Garamond" w:hAnsi="Garamond" w:cs="Garamond"/>
          <w:color w:val="000000"/>
        </w:rPr>
        <w:t xml:space="preserve">Authored and co-authored more than 40 research papers </w:t>
      </w:r>
      <w:r>
        <w:rPr>
          <w:rFonts w:ascii="Garamond" w:hAnsi="Garamond" w:cs="Garamond"/>
          <w:color w:val="000000"/>
        </w:rPr>
        <w:t>in Atmospheric science</w:t>
      </w:r>
    </w:p>
    <w:p w:rsidR="00806A92" w:rsidRDefault="00806A92" w:rsidP="00806A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Co-authored manuals for Remote Sensing and Cloud Physics Labs</w:t>
      </w:r>
    </w:p>
    <w:p w:rsidR="006D21EC" w:rsidRPr="00D44BB5" w:rsidRDefault="006D21EC" w:rsidP="006D21E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 xml:space="preserve">The 23rd Conference on Radar Meteorology and the Conference on Cloud Physics. Snowmass, Colorado, American Meteorological Society, USA,1986. </w:t>
      </w: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 xml:space="preserve">The Third Scientific Conference of the College of </w:t>
      </w:r>
      <w:r w:rsidR="006D21EC" w:rsidRPr="000F6782">
        <w:rPr>
          <w:rFonts w:ascii="Garamond" w:hAnsi="Garamond" w:cs="Garamond"/>
          <w:color w:val="000000"/>
        </w:rPr>
        <w:t>Science, Al</w:t>
      </w:r>
      <w:r w:rsidRPr="000F6782">
        <w:rPr>
          <w:rFonts w:ascii="Garamond" w:hAnsi="Garamond" w:cs="Garamond"/>
          <w:color w:val="000000"/>
        </w:rPr>
        <w:t>-Mustansiriyah University, Baghdad, Iraq, 1997.</w:t>
      </w: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 xml:space="preserve">The National Conference on Climate Change and Its Environmental Effects. College of Science, Al-Mustansiriyah University, 1998.    </w:t>
      </w: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 xml:space="preserve">The Fourth Scientific Conference </w:t>
      </w:r>
      <w:r w:rsidRPr="000F6782">
        <w:rPr>
          <w:rFonts w:ascii="Garamond" w:hAnsi="Garamond" w:cs="Garamond"/>
          <w:color w:val="000000"/>
        </w:rPr>
        <w:t>of the</w:t>
      </w:r>
      <w:r w:rsidRPr="000F6782">
        <w:rPr>
          <w:rFonts w:ascii="Garamond" w:hAnsi="Garamond" w:cs="Garamond"/>
          <w:color w:val="000000"/>
        </w:rPr>
        <w:t xml:space="preserve"> College of Science, Al-Mustansiriyah University, Baghdad, Iraq, 1999.</w:t>
      </w: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>Workshop on the Solar</w:t>
      </w:r>
      <w:r>
        <w:rPr>
          <w:rFonts w:ascii="Garamond" w:hAnsi="Garamond" w:cs="Garamond"/>
          <w:color w:val="000000"/>
        </w:rPr>
        <w:t xml:space="preserve"> Eclipse, Al-Mustansiriyah University</w:t>
      </w:r>
      <w:r w:rsidRPr="000F6782">
        <w:rPr>
          <w:rFonts w:ascii="Garamond" w:hAnsi="Garamond" w:cs="Garamond"/>
          <w:color w:val="000000"/>
        </w:rPr>
        <w:t>, Iraq, 1999.</w:t>
      </w: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 xml:space="preserve">The Fourth Arab Conference in Astronomy and Space Sciences, Amman, Jordan, 2000. </w:t>
      </w: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>The National Conference in Mathematics, Baghdad, Iraq, 2001.</w:t>
      </w: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 xml:space="preserve">The Fifth Scientific Conference of the College of Science, Al-Mustansiriyah University, Baghdad, </w:t>
      </w:r>
      <w:r w:rsidRPr="000F6782">
        <w:rPr>
          <w:rFonts w:ascii="Garamond" w:hAnsi="Garamond" w:cs="Garamond"/>
          <w:color w:val="000000"/>
        </w:rPr>
        <w:t>Iraq, 2001</w:t>
      </w:r>
      <w:r w:rsidRPr="000F6782">
        <w:rPr>
          <w:rFonts w:ascii="Garamond" w:hAnsi="Garamond" w:cs="Garamond"/>
          <w:color w:val="000000"/>
        </w:rPr>
        <w:t>.</w:t>
      </w:r>
    </w:p>
    <w:p w:rsidR="000F6782" w:rsidRP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>The Workshop on Cloud Seeding and Rainmaking, Baghdad, Iraq, 2002.</w:t>
      </w:r>
    </w:p>
    <w:p w:rsidR="000F6782" w:rsidRDefault="000F6782" w:rsidP="000F67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F6782">
        <w:rPr>
          <w:rFonts w:ascii="Garamond" w:hAnsi="Garamond" w:cs="Garamond"/>
          <w:color w:val="000000"/>
        </w:rPr>
        <w:t>The 2nd National Conference in Computer Science, Baghdad, Iraq, 2003.</w:t>
      </w:r>
    </w:p>
    <w:p w:rsidR="000F6782" w:rsidRPr="000F6782" w:rsidRDefault="000F6782" w:rsidP="00210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D21EC">
        <w:rPr>
          <w:rFonts w:ascii="Garamond" w:hAnsi="Garamond" w:cs="Garamond"/>
          <w:color w:val="000000"/>
        </w:rPr>
        <w:t>The Sixth Scientific Conference of the College of Science, Al-Mustansiriyah University, Baghdad, Iraq, 2010.</w:t>
      </w:r>
      <w:bookmarkStart w:id="0" w:name="_GoBack"/>
      <w:bookmarkEnd w:id="0"/>
    </w:p>
    <w:sectPr w:rsidR="000F6782" w:rsidRPr="000F678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950C2"/>
    <w:rsid w:val="000B1312"/>
    <w:rsid w:val="000F6782"/>
    <w:rsid w:val="001F5DE8"/>
    <w:rsid w:val="0022715F"/>
    <w:rsid w:val="00386263"/>
    <w:rsid w:val="004166DA"/>
    <w:rsid w:val="006D21EC"/>
    <w:rsid w:val="007450DE"/>
    <w:rsid w:val="007E5392"/>
    <w:rsid w:val="00806A92"/>
    <w:rsid w:val="00842FCA"/>
    <w:rsid w:val="008F6697"/>
    <w:rsid w:val="00A22646"/>
    <w:rsid w:val="00A37F2B"/>
    <w:rsid w:val="00A41E2F"/>
    <w:rsid w:val="00AB759F"/>
    <w:rsid w:val="00AC3C6A"/>
    <w:rsid w:val="00B73F00"/>
    <w:rsid w:val="00B82F5C"/>
    <w:rsid w:val="00C2379C"/>
    <w:rsid w:val="00C3436E"/>
    <w:rsid w:val="00D44BB5"/>
    <w:rsid w:val="00D60EA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55CE"/>
  <w15:docId w15:val="{E019F125-9565-4A09-949D-24D33CC0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eor10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 Fattouh</cp:lastModifiedBy>
  <cp:revision>2</cp:revision>
  <dcterms:created xsi:type="dcterms:W3CDTF">2016-10-26T20:25:00Z</dcterms:created>
  <dcterms:modified xsi:type="dcterms:W3CDTF">2016-10-26T20:25:00Z</dcterms:modified>
</cp:coreProperties>
</file>